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1400"/>
      </w:pPr>
      <w:r>
        <w:rPr>
          <w:rFonts w:ascii="Arial" w:cs="Arial" w:eastAsia="Arial" w:hAnsi="Arial"/>
          <w:b/>
          <w:bCs/>
          <w:color w:val="4035A8"/>
          <w:spacing w:val="60"/>
          <w:sz w:val="22"/>
          <w:szCs w:val="22"/>
        </w:rPr>
        <w:t xml:space="preserve">PQ-VES 1.0</w:t>
      </w:r>
    </w:p>
    <w:p>
      <w:pPr>
        <w:spacing w:after="60" w:before="200"/>
      </w:pPr>
      <w:r>
        <w:rPr>
          <w:rFonts w:ascii="Arial" w:cs="Arial" w:eastAsia="Arial" w:hAnsi="Arial"/>
          <w:b/>
          <w:bCs/>
          <w:color w:val="1A1440"/>
          <w:sz w:val="52"/>
          <w:szCs w:val="52"/>
        </w:rPr>
        <w:t xml:space="preserve">Post-Quantum Cryptography</w:t>
      </w:r>
    </w:p>
    <w:p>
      <w:pPr>
        <w:spacing w:after="240" w:before="0"/>
      </w:pPr>
      <w:r>
        <w:rPr>
          <w:rFonts w:ascii="Arial" w:cs="Arial" w:eastAsia="Arial" w:hAnsi="Arial"/>
          <w:b/>
          <w:bCs/>
          <w:color w:val="4035A8"/>
          <w:sz w:val="52"/>
          <w:szCs w:val="52"/>
        </w:rPr>
        <w:t xml:space="preserve">RFP Question Bank</w:t>
      </w:r>
    </w:p>
    <w:p>
      <w:pPr>
        <w:pBdr>
          <w:top w:val="single" w:color="4035A8" w:sz="8" w:space="10"/>
        </w:pBdr>
        <w:spacing w:after="400" w:before="120"/>
      </w:pPr>
      <w:r>
        <w:rPr>
          <w:rFonts w:ascii="Arial" w:cs="Arial" w:eastAsia="Arial" w:hAnsi="Arial"/>
          <w:color w:val="444444"/>
          <w:sz w:val="22"/>
          <w:szCs w:val="22"/>
        </w:rPr>
        <w:t xml:space="preserve">Copy-paste tender questions, grouped by evaluation criterion, with guidance on what a strong answer looks like and what should disqualify.</w:t>
      </w:r>
    </w:p>
    <w:p>
      <w:pPr>
        <w:spacing w:after="120" w:before="60" w:line="264"/>
      </w:pPr>
      <w:r>
        <w:rPr>
          <w:rFonts w:ascii="Arial" w:cs="Arial" w:eastAsia="Arial" w:hAnsi="Arial"/>
          <w:i/>
          <w:iCs/>
          <w:color w:val="555555"/>
          <w:sz w:val="20"/>
          <w:szCs w:val="20"/>
        </w:rPr>
        <w:t xml:space="preserve">A companion to Choosing a Post-Quantum Cryptography Vendor: The 2026 Buyer's Standard.</w:t>
      </w:r>
    </w:p>
    <w:p>
      <w:pPr>
        <w:spacing w:after="120" w:before="60" w:line="264"/>
      </w:pPr>
      <w:r>
        <w:rPr>
          <w:rFonts w:ascii="Arial" w:cs="Arial" w:eastAsia="Arial" w:hAnsi="Arial"/>
          <w:color w:val="555555"/>
          <w:sz w:val="19"/>
          <w:szCs w:val="19"/>
        </w:rPr>
        <w:t xml:space="preserve">Version 1.0  |  Published 12 August 2026  |  Creative Commons Attribution 4.0</w:t>
      </w:r>
    </w:p>
    <w:p>
      <w:r>
        <w:br w:type="page"/>
      </w:r>
    </w:p>
    <w:p>
      <w:pPr>
        <w:pStyle w:val="Heading1"/>
        <w:pBdr>
          <w:bottom w:val="single" w:color="4035A8" w:sz="8" w:space="6"/>
        </w:pBdr>
        <w:spacing w:after="160" w:before="360"/>
      </w:pPr>
      <w:r>
        <w:rPr>
          <w:rFonts w:ascii="Arial" w:cs="Arial" w:eastAsia="Arial" w:hAnsi="Arial"/>
          <w:b/>
          <w:bCs/>
          <w:color w:val="4035A8"/>
          <w:sz w:val="30"/>
          <w:szCs w:val="30"/>
        </w:rPr>
        <w:t xml:space="preserve">How to use this question bank</w:t>
      </w:r>
    </w:p>
    <w:p>
      <w:pPr>
        <w:spacing w:after="120" w:before="60" w:line="264"/>
      </w:pPr>
      <w:r>
        <w:rPr>
          <w:rFonts w:ascii="Arial" w:cs="Arial" w:eastAsia="Arial" w:hAnsi="Arial"/>
          <w:color w:val="000000"/>
          <w:sz w:val="20"/>
          <w:szCs w:val="20"/>
        </w:rPr>
        <w:t xml:space="preserve">These questions are written to be pasted directly into a tender document, a request for information or a supplier questionnaire. They are grouped by the twelve criteria of the Post-Quantum Vendor Evaluation Standard, so that responses map onto the scorecard without re-keying.</w:t>
      </w:r>
    </w:p>
    <w:p>
      <w:pPr>
        <w:pStyle w:val="Heading2"/>
        <w:spacing w:after="100" w:before="260"/>
      </w:pPr>
      <w:r>
        <w:rPr>
          <w:rFonts w:ascii="Arial" w:cs="Arial" w:eastAsia="Arial" w:hAnsi="Arial"/>
          <w:b/>
          <w:bCs/>
          <w:color w:val="1A1440"/>
          <w:sz w:val="24"/>
          <w:szCs w:val="24"/>
        </w:rPr>
        <w:t xml:space="preserve">Three rules that make the difference</w:t>
      </w:r>
    </w:p>
    <w:p>
      <w:pPr>
        <w:spacing w:after="120" w:before="60" w:line="264"/>
      </w:pPr>
      <w:r>
        <w:rPr>
          <w:rFonts w:ascii="Arial" w:cs="Arial" w:eastAsia="Arial" w:hAnsi="Arial"/>
          <w:color w:val="000000"/>
          <w:sz w:val="20"/>
          <w:szCs w:val="20"/>
        </w:rPr>
        <w:t xml:space="preserve">Specify the response format. Most of the value in this bank is in the third column. A question that permits a narrative answer will receive one, and narrative answers cannot be scored consistently. Where a certificate number, a version string or a commit hash is the correct answer, demand it in that form.</w:t>
      </w:r>
    </w:p>
    <w:p>
      <w:pPr>
        <w:spacing w:after="120" w:before="60" w:line="264"/>
      </w:pPr>
      <w:r>
        <w:rPr>
          <w:rFonts w:ascii="Arial" w:cs="Arial" w:eastAsia="Arial" w:hAnsi="Arial"/>
          <w:color w:val="000000"/>
          <w:sz w:val="20"/>
          <w:szCs w:val="20"/>
        </w:rPr>
        <w:t xml:space="preserve">Score the evidence, not the answer. Every response should be classified by evidence tier before it is scored. A vendor's assertion, their documentation, a demonstration, an independent test and an accredited certification are five different things, and the standard caps the score at the tier of evidence supplied.</w:t>
      </w:r>
    </w:p>
    <w:p>
      <w:pPr>
        <w:spacing w:after="120" w:before="60" w:line="264"/>
      </w:pPr>
      <w:r>
        <w:rPr>
          <w:rFonts w:ascii="Arial" w:cs="Arial" w:eastAsia="Arial" w:hAnsi="Arial"/>
          <w:color w:val="000000"/>
          <w:sz w:val="20"/>
          <w:szCs w:val="20"/>
        </w:rPr>
        <w:t xml:space="preserve">Do not soften the disqualifying answers. The disqualifiers listed under each section are there because they indicate something the rest of the response cannot compensate for. Applying them consistently is what makes the process defensible if the outcome is challenged.</w:t>
      </w:r>
    </w:p>
    <w:p>
      <w:pPr>
        <w:pStyle w:val="Heading2"/>
        <w:spacing w:after="100" w:before="260"/>
      </w:pPr>
      <w:r>
        <w:rPr>
          <w:rFonts w:ascii="Arial" w:cs="Arial" w:eastAsia="Arial" w:hAnsi="Arial"/>
          <w:b/>
          <w:bCs/>
          <w:color w:val="1A1440"/>
          <w:sz w:val="24"/>
          <w:szCs w:val="24"/>
        </w:rPr>
        <w:t xml:space="preserve">Evidence tiers</w:t>
      </w:r>
    </w:p>
    <w:tbl>
      <w:tblPr>
        <w:tblW w:type="dxa" w:w="9360"/>
        <w:tblBorders>
          <w:top w:val="single" w:color="BFBFBF" w:sz="2"/>
          <w:left w:val="single" w:color="BFBFBF" w:sz="2"/>
          <w:bottom w:val="single" w:color="BFBFBF" w:sz="2"/>
          <w:right w:val="single" w:color="BFBFBF" w:sz="2"/>
          <w:insideH w:val="single" w:color="BFBFBF" w:sz="2"/>
          <w:insideV w:val="single" w:color="BFBFBF" w:sz="2"/>
        </w:tblBorders>
      </w:tblPr>
      <w:tblGrid>
        <w:gridCol w:w="700"/>
        <w:gridCol w:w="5460"/>
        <w:gridCol w:w="3200"/>
      </w:tblGrid>
      <w:tr>
        <w:trPr>
          <w:tblHeader/>
        </w:trPr>
        <w:tc>
          <w:tcPr>
            <w:tcW w:type="dxa" w:w="700"/>
            <w:shd w:fill="4035A8" w:color="auto" w:val="clear"/>
            <w:tcMar>
              <w:top w:type="dxa" w:w="90"/>
              <w:left w:type="dxa" w:w="120"/>
              <w:bottom w:type="dxa" w:w="90"/>
              <w:right w:type="dxa" w:w="120"/>
            </w:tcMar>
            <w:vAlign w:val="top"/>
          </w:tcPr>
          <w:p>
            <w:pPr>
              <w:spacing w:after="20" w:before="20" w:line="252"/>
            </w:pPr>
            <w:r>
              <w:rPr>
                <w:rFonts w:ascii="Arial" w:cs="Arial" w:eastAsia="Arial" w:hAnsi="Arial"/>
                <w:b/>
                <w:bCs/>
                <w:color w:val="FFFFFF"/>
                <w:sz w:val="19"/>
                <w:szCs w:val="19"/>
              </w:rPr>
              <w:t xml:space="preserve">#</w:t>
            </w:r>
          </w:p>
        </w:tc>
        <w:tc>
          <w:tcPr>
            <w:tcW w:type="dxa" w:w="5460"/>
            <w:shd w:fill="4035A8" w:color="auto" w:val="clear"/>
            <w:tcMar>
              <w:top w:type="dxa" w:w="90"/>
              <w:left w:type="dxa" w:w="120"/>
              <w:bottom w:type="dxa" w:w="90"/>
              <w:right w:type="dxa" w:w="120"/>
            </w:tcMar>
            <w:vAlign w:val="top"/>
          </w:tcPr>
          <w:p>
            <w:pPr>
              <w:spacing w:after="20" w:before="20" w:line="252"/>
            </w:pPr>
            <w:r>
              <w:rPr>
                <w:rFonts w:ascii="Arial" w:cs="Arial" w:eastAsia="Arial" w:hAnsi="Arial"/>
                <w:b/>
                <w:bCs/>
                <w:color w:val="FFFFFF"/>
                <w:sz w:val="19"/>
                <w:szCs w:val="19"/>
              </w:rPr>
              <w:t xml:space="preserve">Question</w:t>
            </w:r>
          </w:p>
        </w:tc>
        <w:tc>
          <w:tcPr>
            <w:tcW w:type="dxa" w:w="3200"/>
            <w:shd w:fill="4035A8" w:color="auto" w:val="clear"/>
            <w:tcMar>
              <w:top w:type="dxa" w:w="90"/>
              <w:left w:type="dxa" w:w="120"/>
              <w:bottom w:type="dxa" w:w="90"/>
              <w:right w:type="dxa" w:w="120"/>
            </w:tcMar>
            <w:vAlign w:val="top"/>
          </w:tcPr>
          <w:p>
            <w:pPr>
              <w:spacing w:after="20" w:before="20" w:line="252"/>
            </w:pPr>
            <w:r>
              <w:rPr>
                <w:rFonts w:ascii="Arial" w:cs="Arial" w:eastAsia="Arial" w:hAnsi="Arial"/>
                <w:b/>
                <w:bCs/>
                <w:color w:val="FFFFFF"/>
                <w:sz w:val="19"/>
                <w:szCs w:val="19"/>
              </w:rPr>
              <w:t xml:space="preserve">Response format required</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E0</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Unevidenced claim. Sales assertion, website copy, a slide.</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Score cap 1</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E1</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Documented claim. Product documentation, written tender response, published specification.</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Score cap 2</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E2</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Demonstrated. Working demonstration on your data, reproducible benchmark, test you observed.</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Score cap 3</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E3</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Independently tested. Third-party audit, published interoperability test, CAVP certificate, peer-reviewed research, source you can inspect and build.</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Score cap 4</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E4</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Accredited certification. CMVP FIPS 140-3, Common Criteria, EUCC, with the deployed configuration inside the certified boundary.</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Score cap 5</w:t>
            </w:r>
          </w:p>
        </w:tc>
      </w:tr>
    </w:tbl>
    <w:p>
      <w:pPr>
        <w:spacing w:before="240"/>
      </w:pPr>
    </w:p>
    <w:tbl>
      <w:tblPr>
        <w:tblW w:type="dxa" w:w="9360"/>
        <w:tblBorders>
          <w:top w:val="none" w:color="FFFFFF" w:sz="0"/>
          <w:left w:val="single" w:color="4035A8" w:sz="18"/>
          <w:bottom w:val="none" w:color="FFFFFF" w:sz="0"/>
          <w:right w:val="none" w:color="FFFFFF" w:sz="0"/>
          <w:insideH w:val="none" w:color="FFFFFF" w:sz="0"/>
          <w:insideV w:val="none" w:color="FFFFFF" w:sz="0"/>
        </w:tblBorders>
      </w:tblPr>
      <w:tblGrid>
        <w:gridCol w:w="9360"/>
      </w:tblGrid>
      <w:tr>
        <w:tc>
          <w:tcPr>
            <w:tcW w:type="dxa" w:w="9360"/>
            <w:shd w:fill="DCD1FB" w:color="auto" w:val="clear"/>
            <w:tcMar>
              <w:top w:type="dxa" w:w="90"/>
              <w:left w:type="dxa" w:w="120"/>
              <w:bottom w:type="dxa" w:w="90"/>
              <w:right w:type="dxa" w:w="120"/>
            </w:tcMar>
            <w:vAlign w:val="top"/>
          </w:tcPr>
          <w:p>
            <w:pPr>
              <w:spacing w:after="20" w:before="20" w:line="252"/>
            </w:pPr>
            <w:r>
              <w:rPr>
                <w:rFonts w:ascii="Arial" w:cs="Arial" w:eastAsia="Arial" w:hAnsi="Arial"/>
                <w:b/>
                <w:bCs/>
                <w:color w:val="1A1440"/>
                <w:sz w:val="19"/>
                <w:szCs w:val="19"/>
              </w:rPr>
              <w:t xml:space="preserve">Before you issue the tender</w:t>
            </w:r>
          </w:p>
          <w:p>
            <w:pPr>
              <w:spacing w:after="20" w:before="20" w:line="252"/>
            </w:pPr>
            <w:r>
              <w:rPr>
                <w:rFonts w:ascii="Arial" w:cs="Arial" w:eastAsia="Arial" w:hAnsi="Arial"/>
                <w:color w:val="000000"/>
                <w:sz w:val="19"/>
                <w:szCs w:val="19"/>
              </w:rPr>
              <w:t xml:space="preserve">Complete Stage 0 of the standard first. Establish your data shelf life, migration time and threat horizon, map the jurisdictions that bind you, identify the product category, and write your data governance constraints. Questions issued before that work is done will produce answers you cannot evaluate.</w:t>
            </w:r>
          </w:p>
          <w:p>
            <w:pPr>
              <w:spacing w:after="20" w:before="20" w:line="252"/>
            </w:pPr>
            <w:r>
              <w:rPr>
                <w:rFonts w:ascii="Arial" w:cs="Arial" w:eastAsia="Arial" w:hAnsi="Arial"/>
                <w:color w:val="000000"/>
                <w:sz w:val="19"/>
                <w:szCs w:val="19"/>
              </w:rPr>
              <w:t xml:space="preserve">Delete the sections that do not apply to the product category you are buying. A question bank that asks a cryptographic library vendor about discovery coverage teaches the market that you are not reading the answers.</w:t>
            </w:r>
          </w:p>
        </w:tc>
      </w:tr>
    </w:tbl>
    <w:p>
      <w:r>
        <w:br w:type="page"/>
      </w:r>
    </w:p>
    <w:p>
      <w:pPr>
        <w:pStyle w:val="Heading1"/>
        <w:pBdr>
          <w:bottom w:val="single" w:color="4035A8" w:sz="8" w:space="6"/>
        </w:pBdr>
        <w:spacing w:after="160" w:before="360"/>
      </w:pPr>
      <w:r>
        <w:rPr>
          <w:rFonts w:ascii="Arial" w:cs="Arial" w:eastAsia="Arial" w:hAnsi="Arial"/>
          <w:b/>
          <w:bCs/>
          <w:color w:val="4035A8"/>
          <w:sz w:val="30"/>
          <w:szCs w:val="30"/>
        </w:rPr>
        <w:t xml:space="preserve">Section 1  |  Threshold questions (hard gates)</w:t>
      </w:r>
    </w:p>
    <w:p>
      <w:pPr>
        <w:spacing w:after="120" w:before="60" w:line="264"/>
      </w:pPr>
      <w:r>
        <w:rPr>
          <w:rFonts w:ascii="Arial" w:cs="Arial" w:eastAsia="Arial" w:hAnsi="Arial"/>
          <w:color w:val="000000"/>
          <w:sz w:val="20"/>
          <w:szCs w:val="20"/>
        </w:rPr>
        <w:t xml:space="preserve">Ask these first. A failure here excludes the vendor regardless of everything that follows. Ask them in the request for information, before you invest in a full tender evaluation.</w:t>
      </w:r>
    </w:p>
    <w:p>
      <w:pPr>
        <w:spacing w:after="60" w:before="100"/>
      </w:pPr>
    </w:p>
    <w:tbl>
      <w:tblPr>
        <w:tblW w:type="dxa" w:w="9360"/>
        <w:tblBorders>
          <w:top w:val="single" w:color="BFBFBF" w:sz="2"/>
          <w:left w:val="single" w:color="BFBFBF" w:sz="2"/>
          <w:bottom w:val="single" w:color="BFBFBF" w:sz="2"/>
          <w:right w:val="single" w:color="BFBFBF" w:sz="2"/>
          <w:insideH w:val="single" w:color="BFBFBF" w:sz="2"/>
          <w:insideV w:val="single" w:color="BFBFBF" w:sz="2"/>
        </w:tblBorders>
      </w:tblPr>
      <w:tblGrid>
        <w:gridCol w:w="700"/>
        <w:gridCol w:w="5460"/>
        <w:gridCol w:w="3200"/>
      </w:tblGrid>
      <w:tr>
        <w:trPr>
          <w:tblHeader/>
        </w:trPr>
        <w:tc>
          <w:tcPr>
            <w:tcW w:type="dxa" w:w="700"/>
            <w:shd w:fill="4035A8" w:color="auto" w:val="clear"/>
            <w:tcMar>
              <w:top w:type="dxa" w:w="90"/>
              <w:left w:type="dxa" w:w="120"/>
              <w:bottom w:type="dxa" w:w="90"/>
              <w:right w:type="dxa" w:w="120"/>
            </w:tcMar>
            <w:vAlign w:val="top"/>
          </w:tcPr>
          <w:p>
            <w:pPr>
              <w:spacing w:after="20" w:before="20" w:line="252"/>
            </w:pPr>
            <w:r>
              <w:rPr>
                <w:rFonts w:ascii="Arial" w:cs="Arial" w:eastAsia="Arial" w:hAnsi="Arial"/>
                <w:b/>
                <w:bCs/>
                <w:color w:val="FFFFFF"/>
                <w:sz w:val="19"/>
                <w:szCs w:val="19"/>
              </w:rPr>
              <w:t xml:space="preserve">#</w:t>
            </w:r>
          </w:p>
        </w:tc>
        <w:tc>
          <w:tcPr>
            <w:tcW w:type="dxa" w:w="5460"/>
            <w:shd w:fill="4035A8" w:color="auto" w:val="clear"/>
            <w:tcMar>
              <w:top w:type="dxa" w:w="90"/>
              <w:left w:type="dxa" w:w="120"/>
              <w:bottom w:type="dxa" w:w="90"/>
              <w:right w:type="dxa" w:w="120"/>
            </w:tcMar>
            <w:vAlign w:val="top"/>
          </w:tcPr>
          <w:p>
            <w:pPr>
              <w:spacing w:after="20" w:before="20" w:line="252"/>
            </w:pPr>
            <w:r>
              <w:rPr>
                <w:rFonts w:ascii="Arial" w:cs="Arial" w:eastAsia="Arial" w:hAnsi="Arial"/>
                <w:b/>
                <w:bCs/>
                <w:color w:val="FFFFFF"/>
                <w:sz w:val="19"/>
                <w:szCs w:val="19"/>
              </w:rPr>
              <w:t xml:space="preserve">Question</w:t>
            </w:r>
          </w:p>
        </w:tc>
        <w:tc>
          <w:tcPr>
            <w:tcW w:type="dxa" w:w="3200"/>
            <w:shd w:fill="4035A8" w:color="auto" w:val="clear"/>
            <w:tcMar>
              <w:top w:type="dxa" w:w="90"/>
              <w:left w:type="dxa" w:w="120"/>
              <w:bottom w:type="dxa" w:w="90"/>
              <w:right w:type="dxa" w:w="120"/>
            </w:tcMar>
            <w:vAlign w:val="top"/>
          </w:tcPr>
          <w:p>
            <w:pPr>
              <w:spacing w:after="20" w:before="20" w:line="252"/>
            </w:pPr>
            <w:r>
              <w:rPr>
                <w:rFonts w:ascii="Arial" w:cs="Arial" w:eastAsia="Arial" w:hAnsi="Arial"/>
                <w:b/>
                <w:bCs/>
                <w:color w:val="FFFFFF"/>
                <w:sz w:val="19"/>
                <w:szCs w:val="19"/>
              </w:rPr>
              <w:t xml:space="preserve">Response format required</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1.1</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List every post-quantum algorithm and parameter set implemented in the shipping product, using standardised names.</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Table. Algorithm, parameter set, shipping or roadmap, version</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1.2</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Does the confidentiality or authenticity of the product depend on any cryptographic algorithm you do not publish? If so, name it and state why it is not published.</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Yes or no, plus explanation</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1.3</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State every deployment model supported: vendor-hosted, customer cloud, customer on-premises, disconnected from external networks.</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List, with the model you propose for us marked</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1.4</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Can a cryptographic algorithm or parameter set be changed after deployment without replacing the product? Describe the mechanism.</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Yes or no, plus mechanism</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1.5</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Does the product output a machine-readable cryptographic inventory? State the format and schema version.</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Format and version, plus a sample file</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1.6</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Name the cryptographic library, version and commit underpinning the product. Confirm whether the KyberSlash fixes and the CVE-2024-37880 mitigation are present, with a commit reference.</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Library, version, commit hash, yes or no per fix</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1.7</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Can the product be configured to satisfy the algorithm policy of each of the following jurisdictions, including hybrid posture? [insert your jurisdictions]</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Yes or no per jurisdiction, plus configuration</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1.8</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State the origin of your cryptographic implementation: written in-house, derived from a named open source project, or licensed. State its verification and testing status.</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Named origin. 'Proprietary' with no detail is not an answer</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1.9</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Provide your vulnerability disclosure policy, security contact and remediation targets by severity. Confirm you will notify customers of cryptographic weaknesses and of any use of non-approved algorithms found in the product.</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Policy document, plus written confirmation</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1.10</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Confirm the proposal does not rely on quantum key distribution to satisfy any post-quantum cryptography requirement.</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Written confirmation</w:t>
            </w:r>
          </w:p>
        </w:tc>
      </w:tr>
    </w:tbl>
    <w:p>
      <w:pPr>
        <w:spacing w:before="200"/>
      </w:pPr>
    </w:p>
    <w:tbl>
      <w:tblPr>
        <w:tblW w:type="dxa" w:w="9360"/>
        <w:tblBorders>
          <w:top w:val="none" w:color="FFFFFF" w:sz="0"/>
          <w:left w:val="single" w:color="4035A8" w:sz="18"/>
          <w:bottom w:val="none" w:color="FFFFFF" w:sz="0"/>
          <w:right w:val="none" w:color="FFFFFF" w:sz="0"/>
          <w:insideH w:val="none" w:color="FFFFFF" w:sz="0"/>
          <w:insideV w:val="none" w:color="FFFFFF" w:sz="0"/>
        </w:tblBorders>
      </w:tblPr>
      <w:tblGrid>
        <w:gridCol w:w="9360"/>
      </w:tblGrid>
      <w:tr>
        <w:tc>
          <w:tcPr>
            <w:tcW w:type="dxa" w:w="9360"/>
            <w:shd w:fill="DCD1FB" w:color="auto" w:val="clear"/>
            <w:tcMar>
              <w:top w:type="dxa" w:w="90"/>
              <w:left w:type="dxa" w:w="120"/>
              <w:bottom w:type="dxa" w:w="90"/>
              <w:right w:type="dxa" w:w="120"/>
            </w:tcMar>
            <w:vAlign w:val="top"/>
          </w:tcPr>
          <w:p>
            <w:pPr>
              <w:spacing w:after="20" w:before="20" w:line="252"/>
            </w:pPr>
            <w:r>
              <w:rPr>
                <w:rFonts w:ascii="Arial" w:cs="Arial" w:eastAsia="Arial" w:hAnsi="Arial"/>
                <w:b/>
                <w:bCs/>
                <w:color w:val="1A1440"/>
                <w:sz w:val="19"/>
                <w:szCs w:val="19"/>
              </w:rPr>
              <w:t xml:space="preserve">A strong answer</w:t>
            </w:r>
          </w:p>
          <w:p>
            <w:pPr>
              <w:spacing w:after="20" w:before="20" w:line="252"/>
            </w:pPr>
            <w:r>
              <w:rPr>
                <w:rFonts w:ascii="Arial" w:cs="Arial" w:eastAsia="Arial" w:hAnsi="Arial"/>
                <w:color w:val="000000"/>
                <w:sz w:val="19"/>
                <w:szCs w:val="19"/>
              </w:rPr>
              <w:t xml:space="preserve">Precise, specific, quickly supplied. A vendor who has done this engineering can answer 1.1, 1.6 and 1.8 within one business day, because the answers already exist internally.</w:t>
            </w:r>
          </w:p>
        </w:tc>
      </w:tr>
    </w:tbl>
    <w:p>
      <w:pPr>
        <w:spacing w:before="140"/>
      </w:pPr>
    </w:p>
    <w:tbl>
      <w:tblPr>
        <w:tblW w:type="dxa" w:w="9360"/>
        <w:tblBorders>
          <w:top w:val="none" w:color="FFFFFF" w:sz="0"/>
          <w:left w:val="single" w:color="CC2B1F" w:sz="18"/>
          <w:bottom w:val="none" w:color="FFFFFF" w:sz="0"/>
          <w:right w:val="none" w:color="FFFFFF" w:sz="0"/>
          <w:insideH w:val="none" w:color="FFFFFF" w:sz="0"/>
          <w:insideV w:val="none" w:color="FFFFFF" w:sz="0"/>
        </w:tblBorders>
      </w:tblPr>
      <w:tblGrid>
        <w:gridCol w:w="9360"/>
      </w:tblGrid>
      <w:tr>
        <w:tc>
          <w:tcPr>
            <w:tcW w:type="dxa" w:w="9360"/>
            <w:shd w:fill="FBE9E7" w:color="auto" w:val="clear"/>
            <w:tcMar>
              <w:top w:type="dxa" w:w="90"/>
              <w:left w:type="dxa" w:w="120"/>
              <w:bottom w:type="dxa" w:w="90"/>
              <w:right w:type="dxa" w:w="120"/>
            </w:tcMar>
            <w:vAlign w:val="top"/>
          </w:tcPr>
          <w:p>
            <w:pPr>
              <w:spacing w:after="20" w:before="20" w:line="252"/>
            </w:pPr>
            <w:r>
              <w:rPr>
                <w:rFonts w:ascii="Arial" w:cs="Arial" w:eastAsia="Arial" w:hAnsi="Arial"/>
                <w:b/>
                <w:bCs/>
                <w:color w:val="1A1440"/>
                <w:sz w:val="19"/>
                <w:szCs w:val="19"/>
              </w:rPr>
              <w:t xml:space="preserve">Disqualifying answers</w:t>
            </w:r>
          </w:p>
          <w:p>
            <w:pPr>
              <w:spacing w:after="20" w:before="20" w:line="252"/>
            </w:pPr>
            <w:r>
              <w:rPr>
                <w:rFonts w:ascii="Arial" w:cs="Arial" w:eastAsia="Arial" w:hAnsi="Arial"/>
                <w:color w:val="000000"/>
                <w:sz w:val="19"/>
                <w:szCs w:val="19"/>
              </w:rPr>
              <w:t xml:space="preserve">Any answer to 1.1 of the form 'we support post-quantum cryptography' without naming parameter sets.</w:t>
            </w:r>
          </w:p>
          <w:p>
            <w:pPr>
              <w:spacing w:after="20" w:before="20" w:line="252"/>
            </w:pPr>
            <w:r>
              <w:rPr>
                <w:rFonts w:ascii="Arial" w:cs="Arial" w:eastAsia="Arial" w:hAnsi="Arial"/>
                <w:color w:val="000000"/>
                <w:sz w:val="19"/>
                <w:szCs w:val="19"/>
              </w:rPr>
              <w:t xml:space="preserve">Brand-era algorithm names (Kyber, Dilithium, Falcon, SPHINCS+) in current documentation. These were renamed in August 2024.</w:t>
            </w:r>
          </w:p>
          <w:p>
            <w:pPr>
              <w:spacing w:after="20" w:before="20" w:line="252"/>
            </w:pPr>
            <w:r>
              <w:rPr>
                <w:rFonts w:ascii="Arial" w:cs="Arial" w:eastAsia="Arial" w:hAnsi="Arial"/>
                <w:color w:val="000000"/>
                <w:sz w:val="19"/>
                <w:szCs w:val="19"/>
              </w:rPr>
              <w:t xml:space="preserve">A proprietary core primitive, under any justification.</w:t>
            </w:r>
          </w:p>
          <w:p>
            <w:pPr>
              <w:spacing w:after="20" w:before="20" w:line="252"/>
            </w:pPr>
            <w:r>
              <w:rPr>
                <w:rFonts w:ascii="Arial" w:cs="Arial" w:eastAsia="Arial" w:hAnsi="Arial"/>
                <w:color w:val="000000"/>
                <w:sz w:val="19"/>
                <w:szCs w:val="19"/>
              </w:rPr>
              <w:t xml:space="preserve">'Proprietary implementation' as the complete answer to 1.8.</w:t>
            </w:r>
          </w:p>
          <w:p>
            <w:pPr>
              <w:spacing w:after="20" w:before="20" w:line="252"/>
            </w:pPr>
            <w:r>
              <w:rPr>
                <w:rFonts w:ascii="Arial" w:cs="Arial" w:eastAsia="Arial" w:hAnsi="Arial"/>
                <w:color w:val="000000"/>
                <w:sz w:val="19"/>
                <w:szCs w:val="19"/>
              </w:rPr>
              <w:t xml:space="preserve">Any offer of QKD in response to 1.10.</w:t>
            </w:r>
          </w:p>
        </w:tc>
      </w:tr>
    </w:tbl>
    <w:p>
      <w:r>
        <w:br w:type="page"/>
      </w:r>
    </w:p>
    <w:p>
      <w:pPr>
        <w:pStyle w:val="Heading1"/>
        <w:pBdr>
          <w:bottom w:val="single" w:color="4035A8" w:sz="8" w:space="6"/>
        </w:pBdr>
        <w:spacing w:after="160" w:before="360"/>
      </w:pPr>
      <w:r>
        <w:rPr>
          <w:rFonts w:ascii="Arial" w:cs="Arial" w:eastAsia="Arial" w:hAnsi="Arial"/>
          <w:b/>
          <w:bCs/>
          <w:color w:val="4035A8"/>
          <w:sz w:val="30"/>
          <w:szCs w:val="30"/>
        </w:rPr>
        <w:t xml:space="preserve">Section 2  |  Standards conformance and algorithm coverage (A1)</w:t>
      </w:r>
    </w:p>
    <w:p>
      <w:pPr>
        <w:spacing w:after="120" w:before="60" w:line="264"/>
      </w:pPr>
      <w:r>
        <w:rPr>
          <w:rFonts w:ascii="Arial" w:cs="Arial" w:eastAsia="Arial" w:hAnsi="Arial"/>
          <w:color w:val="000000"/>
          <w:sz w:val="20"/>
          <w:szCs w:val="20"/>
        </w:rPr>
        <w:t xml:space="preserve">Three post-quantum standards are final: FIPS 203 (ML-KEM), FIPS 204 (ML-DSA) and FIPS 205 (SLH-DSA), all finalised 13 August 2024. FIPS 206 (FN-DSA) is not published in any form. HQC was selected in March 2025 with no published standard. How a vendor describes this landscape is itself diagnostic.</w:t>
      </w:r>
    </w:p>
    <w:p>
      <w:pPr>
        <w:spacing w:after="60" w:before="100"/>
      </w:pPr>
    </w:p>
    <w:tbl>
      <w:tblPr>
        <w:tblW w:type="dxa" w:w="9360"/>
        <w:tblBorders>
          <w:top w:val="single" w:color="BFBFBF" w:sz="2"/>
          <w:left w:val="single" w:color="BFBFBF" w:sz="2"/>
          <w:bottom w:val="single" w:color="BFBFBF" w:sz="2"/>
          <w:right w:val="single" w:color="BFBFBF" w:sz="2"/>
          <w:insideH w:val="single" w:color="BFBFBF" w:sz="2"/>
          <w:insideV w:val="single" w:color="BFBFBF" w:sz="2"/>
        </w:tblBorders>
      </w:tblPr>
      <w:tblGrid>
        <w:gridCol w:w="700"/>
        <w:gridCol w:w="5460"/>
        <w:gridCol w:w="3200"/>
      </w:tblGrid>
      <w:tr>
        <w:trPr>
          <w:tblHeader/>
        </w:trPr>
        <w:tc>
          <w:tcPr>
            <w:tcW w:type="dxa" w:w="700"/>
            <w:shd w:fill="4035A8" w:color="auto" w:val="clear"/>
            <w:tcMar>
              <w:top w:type="dxa" w:w="90"/>
              <w:left w:type="dxa" w:w="120"/>
              <w:bottom w:type="dxa" w:w="90"/>
              <w:right w:type="dxa" w:w="120"/>
            </w:tcMar>
            <w:vAlign w:val="top"/>
          </w:tcPr>
          <w:p>
            <w:pPr>
              <w:spacing w:after="20" w:before="20" w:line="252"/>
            </w:pPr>
            <w:r>
              <w:rPr>
                <w:rFonts w:ascii="Arial" w:cs="Arial" w:eastAsia="Arial" w:hAnsi="Arial"/>
                <w:b/>
                <w:bCs/>
                <w:color w:val="FFFFFF"/>
                <w:sz w:val="19"/>
                <w:szCs w:val="19"/>
              </w:rPr>
              <w:t xml:space="preserve">#</w:t>
            </w:r>
          </w:p>
        </w:tc>
        <w:tc>
          <w:tcPr>
            <w:tcW w:type="dxa" w:w="5460"/>
            <w:shd w:fill="4035A8" w:color="auto" w:val="clear"/>
            <w:tcMar>
              <w:top w:type="dxa" w:w="90"/>
              <w:left w:type="dxa" w:w="120"/>
              <w:bottom w:type="dxa" w:w="90"/>
              <w:right w:type="dxa" w:w="120"/>
            </w:tcMar>
            <w:vAlign w:val="top"/>
          </w:tcPr>
          <w:p>
            <w:pPr>
              <w:spacing w:after="20" w:before="20" w:line="252"/>
            </w:pPr>
            <w:r>
              <w:rPr>
                <w:rFonts w:ascii="Arial" w:cs="Arial" w:eastAsia="Arial" w:hAnsi="Arial"/>
                <w:b/>
                <w:bCs/>
                <w:color w:val="FFFFFF"/>
                <w:sz w:val="19"/>
                <w:szCs w:val="19"/>
              </w:rPr>
              <w:t xml:space="preserve">Question</w:t>
            </w:r>
          </w:p>
        </w:tc>
        <w:tc>
          <w:tcPr>
            <w:tcW w:type="dxa" w:w="3200"/>
            <w:shd w:fill="4035A8" w:color="auto" w:val="clear"/>
            <w:tcMar>
              <w:top w:type="dxa" w:w="90"/>
              <w:left w:type="dxa" w:w="120"/>
              <w:bottom w:type="dxa" w:w="90"/>
              <w:right w:type="dxa" w:w="120"/>
            </w:tcMar>
            <w:vAlign w:val="top"/>
          </w:tcPr>
          <w:p>
            <w:pPr>
              <w:spacing w:after="20" w:before="20" w:line="252"/>
            </w:pPr>
            <w:r>
              <w:rPr>
                <w:rFonts w:ascii="Arial" w:cs="Arial" w:eastAsia="Arial" w:hAnsi="Arial"/>
                <w:b/>
                <w:bCs/>
                <w:color w:val="FFFFFF"/>
                <w:sz w:val="19"/>
                <w:szCs w:val="19"/>
              </w:rPr>
              <w:t xml:space="preserve">Response format required</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2.1</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Which parameter sets are enabled in the default configuration, and which require explicit configuration?</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Table</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2.2</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For each algorithm, which cryptographic functions are implemented: key generation, encapsulation, decapsulation, signing, verification?</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Matrix</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2.3</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What is your position on FIPS 206 and HQC, and what is your plan when each is published?</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Narrative, plus dates</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2.4</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Do you implement stateful hash-based signatures under SP 800-208 (LMS, XMSS)? If so, describe your state management.</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Yes or no, plus mechanism</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2.5</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Which protocol standards do you implement, at which code points? Address TLS 1.3 hybrid key agreement, IKEv2, SSH and X.509 separately.</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Table of standard, RFC or draft number, code point, status</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2.6</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State the standardisation status of each protocol capability you claim, distinguishing published RFCs from drafts in the RFC Editor queue and from unapproved Internet-Drafts. Give the draft revision where applicable.</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Table</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2.7</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Have you demonstrated interoperability with independent implementations of these standards? Provide test evidence.</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Named counterparties, test reports</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2.8</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Which algorithms in your product are quantum-vulnerable, and what is the plan and date for each?</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Table</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2.9</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How do you handle algorithm negotiation with peers that do not support post-quantum algorithms, and can downgrade be prohibited by policy?</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Narrative, plus configuration reference</w:t>
            </w:r>
          </w:p>
        </w:tc>
      </w:tr>
    </w:tbl>
    <w:p>
      <w:pPr>
        <w:spacing w:before="200"/>
      </w:pPr>
    </w:p>
    <w:tbl>
      <w:tblPr>
        <w:tblW w:type="dxa" w:w="9360"/>
        <w:tblBorders>
          <w:top w:val="none" w:color="FFFFFF" w:sz="0"/>
          <w:left w:val="single" w:color="4035A8" w:sz="18"/>
          <w:bottom w:val="none" w:color="FFFFFF" w:sz="0"/>
          <w:right w:val="none" w:color="FFFFFF" w:sz="0"/>
          <w:insideH w:val="none" w:color="FFFFFF" w:sz="0"/>
          <w:insideV w:val="none" w:color="FFFFFF" w:sz="0"/>
        </w:tblBorders>
      </w:tblPr>
      <w:tblGrid>
        <w:gridCol w:w="9360"/>
      </w:tblGrid>
      <w:tr>
        <w:tc>
          <w:tcPr>
            <w:tcW w:type="dxa" w:w="9360"/>
            <w:shd w:fill="DCD1FB" w:color="auto" w:val="clear"/>
            <w:tcMar>
              <w:top w:type="dxa" w:w="90"/>
              <w:left w:type="dxa" w:w="120"/>
              <w:bottom w:type="dxa" w:w="90"/>
              <w:right w:type="dxa" w:w="120"/>
            </w:tcMar>
            <w:vAlign w:val="top"/>
          </w:tcPr>
          <w:p>
            <w:pPr>
              <w:spacing w:after="20" w:before="20" w:line="252"/>
            </w:pPr>
            <w:r>
              <w:rPr>
                <w:rFonts w:ascii="Arial" w:cs="Arial" w:eastAsia="Arial" w:hAnsi="Arial"/>
                <w:b/>
                <w:bCs/>
                <w:color w:val="1A1440"/>
                <w:sz w:val="19"/>
                <w:szCs w:val="19"/>
              </w:rPr>
              <w:t xml:space="preserve">A strong answer</w:t>
            </w:r>
          </w:p>
          <w:p>
            <w:pPr>
              <w:spacing w:after="20" w:before="20" w:line="252"/>
            </w:pPr>
            <w:r>
              <w:rPr>
                <w:rFonts w:ascii="Arial" w:cs="Arial" w:eastAsia="Arial" w:hAnsi="Arial"/>
                <w:color w:val="000000"/>
                <w:sz w:val="19"/>
                <w:szCs w:val="19"/>
              </w:rPr>
              <w:t xml:space="preserve">Names parameter sets without prompting. Describes FIPS 206 and HQC accurately as unpublished. Distinguishes RFCs from drafts unprompted. Supplies interoperability evidence against implementations they do not control.</w:t>
            </w:r>
          </w:p>
        </w:tc>
      </w:tr>
    </w:tbl>
    <w:p>
      <w:pPr>
        <w:spacing w:before="140"/>
      </w:pPr>
    </w:p>
    <w:tbl>
      <w:tblPr>
        <w:tblW w:type="dxa" w:w="9360"/>
        <w:tblBorders>
          <w:top w:val="none" w:color="FFFFFF" w:sz="0"/>
          <w:left w:val="single" w:color="CC2B1F" w:sz="18"/>
          <w:bottom w:val="none" w:color="FFFFFF" w:sz="0"/>
          <w:right w:val="none" w:color="FFFFFF" w:sz="0"/>
          <w:insideH w:val="none" w:color="FFFFFF" w:sz="0"/>
          <w:insideV w:val="none" w:color="FFFFFF" w:sz="0"/>
        </w:tblBorders>
      </w:tblPr>
      <w:tblGrid>
        <w:gridCol w:w="9360"/>
      </w:tblGrid>
      <w:tr>
        <w:tc>
          <w:tcPr>
            <w:tcW w:type="dxa" w:w="9360"/>
            <w:shd w:fill="FBE9E7" w:color="auto" w:val="clear"/>
            <w:tcMar>
              <w:top w:type="dxa" w:w="90"/>
              <w:left w:type="dxa" w:w="120"/>
              <w:bottom w:type="dxa" w:w="90"/>
              <w:right w:type="dxa" w:w="120"/>
            </w:tcMar>
            <w:vAlign w:val="top"/>
          </w:tcPr>
          <w:p>
            <w:pPr>
              <w:spacing w:after="20" w:before="20" w:line="252"/>
            </w:pPr>
            <w:r>
              <w:rPr>
                <w:rFonts w:ascii="Arial" w:cs="Arial" w:eastAsia="Arial" w:hAnsi="Arial"/>
                <w:b/>
                <w:bCs/>
                <w:color w:val="1A1440"/>
                <w:sz w:val="19"/>
                <w:szCs w:val="19"/>
              </w:rPr>
              <w:t xml:space="preserve">Disqualifying answers</w:t>
            </w:r>
          </w:p>
          <w:p>
            <w:pPr>
              <w:spacing w:after="20" w:before="20" w:line="252"/>
            </w:pPr>
            <w:r>
              <w:rPr>
                <w:rFonts w:ascii="Arial" w:cs="Arial" w:eastAsia="Arial" w:hAnsi="Arial"/>
                <w:color w:val="000000"/>
                <w:sz w:val="19"/>
                <w:szCs w:val="19"/>
              </w:rPr>
              <w:t xml:space="preserve">Listing FN-DSA or HQC as standardised or NIST-finalised.</w:t>
            </w:r>
          </w:p>
          <w:p>
            <w:pPr>
              <w:spacing w:after="20" w:before="20" w:line="252"/>
            </w:pPr>
            <w:r>
              <w:rPr>
                <w:rFonts w:ascii="Arial" w:cs="Arial" w:eastAsia="Arial" w:hAnsi="Arial"/>
                <w:color w:val="000000"/>
                <w:sz w:val="19"/>
                <w:szCs w:val="19"/>
              </w:rPr>
              <w:t xml:space="preserve">Claiming composite post-quantum certificates are a published standard. As at August 2026 the composite drafts were approved and in the RFC Editor queue, not published.</w:t>
            </w:r>
          </w:p>
          <w:p>
            <w:pPr>
              <w:spacing w:after="20" w:before="20" w:line="252"/>
            </w:pPr>
            <w:r>
              <w:rPr>
                <w:rFonts w:ascii="Arial" w:cs="Arial" w:eastAsia="Arial" w:hAnsi="Arial"/>
                <w:color w:val="000000"/>
                <w:sz w:val="19"/>
                <w:szCs w:val="19"/>
              </w:rPr>
              <w:t xml:space="preserve">Refusing to name parameter sets.</w:t>
            </w:r>
          </w:p>
          <w:p>
            <w:pPr>
              <w:spacing w:after="20" w:before="20" w:line="252"/>
            </w:pPr>
            <w:r>
              <w:rPr>
                <w:rFonts w:ascii="Arial" w:cs="Arial" w:eastAsia="Arial" w:hAnsi="Arial"/>
                <w:color w:val="000000"/>
                <w:sz w:val="19"/>
                <w:szCs w:val="19"/>
              </w:rPr>
              <w:t xml:space="preserve">Claiming a proprietary algorithm is equivalent to a NIST standard.</w:t>
            </w:r>
          </w:p>
        </w:tc>
      </w:tr>
    </w:tbl>
    <w:p>
      <w:r>
        <w:br w:type="page"/>
      </w:r>
    </w:p>
    <w:p>
      <w:pPr>
        <w:pStyle w:val="Heading1"/>
        <w:pBdr>
          <w:bottom w:val="single" w:color="4035A8" w:sz="8" w:space="6"/>
        </w:pBdr>
        <w:spacing w:after="160" w:before="360"/>
      </w:pPr>
      <w:r>
        <w:rPr>
          <w:rFonts w:ascii="Arial" w:cs="Arial" w:eastAsia="Arial" w:hAnsi="Arial"/>
          <w:b/>
          <w:bCs/>
          <w:color w:val="4035A8"/>
          <w:sz w:val="30"/>
          <w:szCs w:val="30"/>
        </w:rPr>
        <w:t xml:space="preserve">Section 3  |  Implementation assurance (A2)</w:t>
      </w:r>
    </w:p>
    <w:p>
      <w:pPr>
        <w:spacing w:after="120" w:before="60" w:line="264"/>
      </w:pPr>
      <w:r>
        <w:rPr>
          <w:rFonts w:ascii="Arial" w:cs="Arial" w:eastAsia="Arial" w:hAnsi="Arial"/>
          <w:color w:val="000000"/>
          <w:sz w:val="20"/>
          <w:szCs w:val="20"/>
        </w:rPr>
        <w:t xml:space="preserve">This is where the published failures are. The 2024 KyberSlash disclosures demonstrated full secret-key recovery from timing leaks in widely deployed Kyber implementations. CVE-2024-37880 showed a correct constant-time source idiom transformed by the compiler into a secret-dependent branch. Neither was a failure of the algorithm. Both were present in code a vendor could accurately describe as standards-conformant.</w:t>
      </w:r>
    </w:p>
    <w:p>
      <w:pPr>
        <w:spacing w:after="60" w:before="100"/>
      </w:pPr>
    </w:p>
    <w:tbl>
      <w:tblPr>
        <w:tblW w:type="dxa" w:w="9360"/>
        <w:tblBorders>
          <w:top w:val="single" w:color="BFBFBF" w:sz="2"/>
          <w:left w:val="single" w:color="BFBFBF" w:sz="2"/>
          <w:bottom w:val="single" w:color="BFBFBF" w:sz="2"/>
          <w:right w:val="single" w:color="BFBFBF" w:sz="2"/>
          <w:insideH w:val="single" w:color="BFBFBF" w:sz="2"/>
          <w:insideV w:val="single" w:color="BFBFBF" w:sz="2"/>
        </w:tblBorders>
      </w:tblPr>
      <w:tblGrid>
        <w:gridCol w:w="700"/>
        <w:gridCol w:w="5460"/>
        <w:gridCol w:w="3200"/>
      </w:tblGrid>
      <w:tr>
        <w:trPr>
          <w:tblHeader/>
        </w:trPr>
        <w:tc>
          <w:tcPr>
            <w:tcW w:type="dxa" w:w="700"/>
            <w:shd w:fill="4035A8" w:color="auto" w:val="clear"/>
            <w:tcMar>
              <w:top w:type="dxa" w:w="90"/>
              <w:left w:type="dxa" w:w="120"/>
              <w:bottom w:type="dxa" w:w="90"/>
              <w:right w:type="dxa" w:w="120"/>
            </w:tcMar>
            <w:vAlign w:val="top"/>
          </w:tcPr>
          <w:p>
            <w:pPr>
              <w:spacing w:after="20" w:before="20" w:line="252"/>
            </w:pPr>
            <w:r>
              <w:rPr>
                <w:rFonts w:ascii="Arial" w:cs="Arial" w:eastAsia="Arial" w:hAnsi="Arial"/>
                <w:b/>
                <w:bCs/>
                <w:color w:val="FFFFFF"/>
                <w:sz w:val="19"/>
                <w:szCs w:val="19"/>
              </w:rPr>
              <w:t xml:space="preserve">#</w:t>
            </w:r>
          </w:p>
        </w:tc>
        <w:tc>
          <w:tcPr>
            <w:tcW w:type="dxa" w:w="5460"/>
            <w:shd w:fill="4035A8" w:color="auto" w:val="clear"/>
            <w:tcMar>
              <w:top w:type="dxa" w:w="90"/>
              <w:left w:type="dxa" w:w="120"/>
              <w:bottom w:type="dxa" w:w="90"/>
              <w:right w:type="dxa" w:w="120"/>
            </w:tcMar>
            <w:vAlign w:val="top"/>
          </w:tcPr>
          <w:p>
            <w:pPr>
              <w:spacing w:after="20" w:before="20" w:line="252"/>
            </w:pPr>
            <w:r>
              <w:rPr>
                <w:rFonts w:ascii="Arial" w:cs="Arial" w:eastAsia="Arial" w:hAnsi="Arial"/>
                <w:b/>
                <w:bCs/>
                <w:color w:val="FFFFFF"/>
                <w:sz w:val="19"/>
                <w:szCs w:val="19"/>
              </w:rPr>
              <w:t xml:space="preserve">Question</w:t>
            </w:r>
          </w:p>
        </w:tc>
        <w:tc>
          <w:tcPr>
            <w:tcW w:type="dxa" w:w="3200"/>
            <w:shd w:fill="4035A8" w:color="auto" w:val="clear"/>
            <w:tcMar>
              <w:top w:type="dxa" w:w="90"/>
              <w:left w:type="dxa" w:w="120"/>
              <w:bottom w:type="dxa" w:w="90"/>
              <w:right w:type="dxa" w:w="120"/>
            </w:tcMar>
            <w:vAlign w:val="top"/>
          </w:tcPr>
          <w:p>
            <w:pPr>
              <w:spacing w:after="20" w:before="20" w:line="252"/>
            </w:pPr>
            <w:r>
              <w:rPr>
                <w:rFonts w:ascii="Arial" w:cs="Arial" w:eastAsia="Arial" w:hAnsi="Arial"/>
                <w:b/>
                <w:bCs/>
                <w:color w:val="FFFFFF"/>
                <w:sz w:val="19"/>
                <w:szCs w:val="19"/>
              </w:rPr>
              <w:t xml:space="preserve">Response format required</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3.1</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Is your implementation a fork of an upstream project? If so, what has diverged, and how do you track upstream security fixes?</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Named upstream, divergence summary, process</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3.2</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Does the product contain any PQClean-derived code? That project was archived in July 2026. If so, what is your migration plan and date?</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Yes or no, plus plan</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3.3</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What constant-time testing do you perform, using which tools, and on which builds?</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Tool names, methodology, coverage</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3.4</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State the compiler, compiler version, optimisation flags and target architecture used to build the shipped binaries.</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Exact strings</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3.5</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What binary-level evidence do you hold that the shipped build is constant-time on that toolchain and target?</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Test output, or assembly-level proof</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3.6</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If you claim formal verification: which artefact was verified, meaning high-level source, C source, intermediate representation or shipped assembly?</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Named artefact</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3.7</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Against which specification was it verified, and is that specification published and independently reviewable against the FIPS text?</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Specification reference and location</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3.8</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Which properties were proven? Name each individually: memory safety, panic freedom, functional correctness, secret independence, constant-time, speculative constant-time.</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Explicit list. A general claim is not an answer</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3.9</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What is the trusted computing base? Which prover, which compiler, and which dependencies are assumed correct rather than proven?</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Explicit list</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3.10</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Are the proofs re-run in continuous integration on every commit, in non-lax mode, with no admitted assumptions? Provide a CI log.</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Yes or no, plus log</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3.11</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Do you publish a soundness or caveats document stating residual risk? Provide it.</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Document, or a statement that none exists</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3.12</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Which platforms, architectures and build configurations are covered by your assurance evidence, and which shipped configurations are not?</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Coverage matrix, including gaps</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3.13</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What hardware side-channel testing has been performed: power analysis, electromagnetic, fault injection? By whom, and with what result?</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Test house, scope, report</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3.14</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Which random number generator is used for key generation and hedged signing? For hardware products, state the evaluated functionality class and the AIS 20/31 version.</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Named RNG, class, version</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3.15</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For ML-DSA: are rejection-sampling iterations protected against leakage? Describe the countermeasure.</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Yes or no, plus countermeasure</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3.16</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Provide any independent cryptographic audit reports covering this implementation, with dates and scope.</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Reports, or a statement that none exist</w:t>
            </w:r>
          </w:p>
        </w:tc>
      </w:tr>
    </w:tbl>
    <w:p>
      <w:pPr>
        <w:spacing w:before="200"/>
      </w:pPr>
    </w:p>
    <w:tbl>
      <w:tblPr>
        <w:tblW w:type="dxa" w:w="9360"/>
        <w:tblBorders>
          <w:top w:val="none" w:color="FFFFFF" w:sz="0"/>
          <w:left w:val="single" w:color="4035A8" w:sz="18"/>
          <w:bottom w:val="none" w:color="FFFFFF" w:sz="0"/>
          <w:right w:val="none" w:color="FFFFFF" w:sz="0"/>
          <w:insideH w:val="none" w:color="FFFFFF" w:sz="0"/>
          <w:insideV w:val="none" w:color="FFFFFF" w:sz="0"/>
        </w:tblBorders>
      </w:tblPr>
      <w:tblGrid>
        <w:gridCol w:w="9360"/>
      </w:tblGrid>
      <w:tr>
        <w:tc>
          <w:tcPr>
            <w:tcW w:type="dxa" w:w="9360"/>
            <w:shd w:fill="DCD1FB" w:color="auto" w:val="clear"/>
            <w:tcMar>
              <w:top w:type="dxa" w:w="90"/>
              <w:left w:type="dxa" w:w="120"/>
              <w:bottom w:type="dxa" w:w="90"/>
              <w:right w:type="dxa" w:w="120"/>
            </w:tcMar>
            <w:vAlign w:val="top"/>
          </w:tcPr>
          <w:p>
            <w:pPr>
              <w:spacing w:after="20" w:before="20" w:line="252"/>
            </w:pPr>
            <w:r>
              <w:rPr>
                <w:rFonts w:ascii="Arial" w:cs="Arial" w:eastAsia="Arial" w:hAnsi="Arial"/>
                <w:b/>
                <w:bCs/>
                <w:color w:val="1A1440"/>
                <w:sz w:val="19"/>
                <w:szCs w:val="19"/>
              </w:rPr>
              <w:t xml:space="preserve">A strong answer</w:t>
            </w:r>
          </w:p>
          <w:p>
            <w:pPr>
              <w:spacing w:after="20" w:before="20" w:line="252"/>
            </w:pPr>
            <w:r>
              <w:rPr>
                <w:rFonts w:ascii="Arial" w:cs="Arial" w:eastAsia="Arial" w:hAnsi="Arial"/>
                <w:color w:val="000000"/>
                <w:sz w:val="19"/>
                <w:szCs w:val="19"/>
              </w:rPr>
              <w:t xml:space="preserve">Answers 3.6 to 3.9 with four separate, precise responses rather than one general claim. Volunteers the limits of the verification before being asked. Supplies a caveats document. States clearly which shipped configurations fall outside the assurance evidence.</w:t>
            </w:r>
          </w:p>
        </w:tc>
      </w:tr>
    </w:tbl>
    <w:p>
      <w:pPr>
        <w:spacing w:before="140"/>
      </w:pPr>
    </w:p>
    <w:tbl>
      <w:tblPr>
        <w:tblW w:type="dxa" w:w="9360"/>
        <w:tblBorders>
          <w:top w:val="none" w:color="FFFFFF" w:sz="0"/>
          <w:left w:val="single" w:color="CC2B1F" w:sz="18"/>
          <w:bottom w:val="none" w:color="FFFFFF" w:sz="0"/>
          <w:right w:val="none" w:color="FFFFFF" w:sz="0"/>
          <w:insideH w:val="none" w:color="FFFFFF" w:sz="0"/>
          <w:insideV w:val="none" w:color="FFFFFF" w:sz="0"/>
        </w:tblBorders>
      </w:tblPr>
      <w:tblGrid>
        <w:gridCol w:w="9360"/>
      </w:tblGrid>
      <w:tr>
        <w:tc>
          <w:tcPr>
            <w:tcW w:type="dxa" w:w="9360"/>
            <w:shd w:fill="FBE9E7" w:color="auto" w:val="clear"/>
            <w:tcMar>
              <w:top w:type="dxa" w:w="90"/>
              <w:left w:type="dxa" w:w="120"/>
              <w:bottom w:type="dxa" w:w="90"/>
              <w:right w:type="dxa" w:w="120"/>
            </w:tcMar>
            <w:vAlign w:val="top"/>
          </w:tcPr>
          <w:p>
            <w:pPr>
              <w:spacing w:after="20" w:before="20" w:line="252"/>
            </w:pPr>
            <w:r>
              <w:rPr>
                <w:rFonts w:ascii="Arial" w:cs="Arial" w:eastAsia="Arial" w:hAnsi="Arial"/>
                <w:b/>
                <w:bCs/>
                <w:color w:val="1A1440"/>
                <w:sz w:val="19"/>
                <w:szCs w:val="19"/>
              </w:rPr>
              <w:t xml:space="preserve">Disqualifying answers</w:t>
            </w:r>
          </w:p>
          <w:p>
            <w:pPr>
              <w:spacing w:after="20" w:before="20" w:line="252"/>
            </w:pPr>
            <w:r>
              <w:rPr>
                <w:rFonts w:ascii="Arial" w:cs="Arial" w:eastAsia="Arial" w:hAnsi="Arial"/>
                <w:color w:val="000000"/>
                <w:sz w:val="19"/>
                <w:szCs w:val="19"/>
              </w:rPr>
              <w:t xml:space="preserve">'Formally verified' without naming artefact, specification, properties and trusted computing base. All four, or the claim cannot be assessed.</w:t>
            </w:r>
          </w:p>
          <w:p>
            <w:pPr>
              <w:spacing w:after="20" w:before="20" w:line="252"/>
            </w:pPr>
            <w:r>
              <w:rPr>
                <w:rFonts w:ascii="Arial" w:cs="Arial" w:eastAsia="Arial" w:hAnsi="Arial"/>
                <w:color w:val="000000"/>
                <w:sz w:val="19"/>
                <w:szCs w:val="19"/>
              </w:rPr>
              <w:t xml:space="preserve">Claiming constant-time without binary-level evidence on the toolchain and target you will deploy.</w:t>
            </w:r>
          </w:p>
          <w:p>
            <w:pPr>
              <w:spacing w:after="20" w:before="20" w:line="252"/>
            </w:pPr>
            <w:r>
              <w:rPr>
                <w:rFonts w:ascii="Arial" w:cs="Arial" w:eastAsia="Arial" w:hAnsi="Arial"/>
                <w:color w:val="000000"/>
                <w:sz w:val="19"/>
                <w:szCs w:val="19"/>
              </w:rPr>
              <w:t xml:space="preserve">Claiming formal verification proves side-channel resistance. It does not. No formal verification in current practice proves resistance to power, electromagnetic or fault attacks.</w:t>
            </w:r>
          </w:p>
          <w:p>
            <w:pPr>
              <w:spacing w:after="20" w:before="20" w:line="252"/>
            </w:pPr>
            <w:r>
              <w:rPr>
                <w:rFonts w:ascii="Arial" w:cs="Arial" w:eastAsia="Arial" w:hAnsi="Arial"/>
                <w:color w:val="000000"/>
                <w:sz w:val="19"/>
                <w:szCs w:val="19"/>
              </w:rPr>
              <w:t xml:space="preserve">Inability to answer 3.1 or 3.4 within one business day.</w:t>
            </w:r>
          </w:p>
          <w:p>
            <w:pPr>
              <w:spacing w:after="20" w:before="20" w:line="252"/>
            </w:pPr>
            <w:r>
              <w:rPr>
                <w:rFonts w:ascii="Arial" w:cs="Arial" w:eastAsia="Arial" w:hAnsi="Arial"/>
                <w:color w:val="000000"/>
                <w:sz w:val="19"/>
                <w:szCs w:val="19"/>
              </w:rPr>
              <w:t xml:space="preserve">Unpatched reference-implementation derivatives.</w:t>
            </w:r>
          </w:p>
        </w:tc>
      </w:tr>
    </w:tbl>
    <w:p>
      <w:r>
        <w:br w:type="page"/>
      </w:r>
    </w:p>
    <w:p>
      <w:pPr>
        <w:pStyle w:val="Heading1"/>
        <w:pBdr>
          <w:bottom w:val="single" w:color="4035A8" w:sz="8" w:space="6"/>
        </w:pBdr>
        <w:spacing w:after="160" w:before="360"/>
      </w:pPr>
      <w:r>
        <w:rPr>
          <w:rFonts w:ascii="Arial" w:cs="Arial" w:eastAsia="Arial" w:hAnsi="Arial"/>
          <w:b/>
          <w:bCs/>
          <w:color w:val="4035A8"/>
          <w:sz w:val="30"/>
          <w:szCs w:val="30"/>
        </w:rPr>
        <w:t xml:space="preserve">Section 4  |  Independent validation and certification (A3)</w:t>
      </w:r>
    </w:p>
    <w:p>
      <w:pPr>
        <w:spacing w:after="120" w:before="60" w:line="264"/>
      </w:pPr>
      <w:r>
        <w:rPr>
          <w:rFonts w:ascii="Arial" w:cs="Arial" w:eastAsia="Arial" w:hAnsi="Arial"/>
          <w:color w:val="000000"/>
          <w:sz w:val="20"/>
          <w:szCs w:val="20"/>
        </w:rPr>
        <w:t xml:space="preserve">A CAVP algorithm certificate, a CMVP module certificate and a Common Criteria certificate are three different signals with three different strengths. Validation supply has not kept pace with demand, so 'in the queue' is a legitimate and common answer. Score it honestly rather than penalising it, and never accept it as validation.</w:t>
      </w:r>
    </w:p>
    <w:p>
      <w:pPr>
        <w:spacing w:after="60" w:before="100"/>
      </w:pPr>
    </w:p>
    <w:tbl>
      <w:tblPr>
        <w:tblW w:type="dxa" w:w="9360"/>
        <w:tblBorders>
          <w:top w:val="single" w:color="BFBFBF" w:sz="2"/>
          <w:left w:val="single" w:color="BFBFBF" w:sz="2"/>
          <w:bottom w:val="single" w:color="BFBFBF" w:sz="2"/>
          <w:right w:val="single" w:color="BFBFBF" w:sz="2"/>
          <w:insideH w:val="single" w:color="BFBFBF" w:sz="2"/>
          <w:insideV w:val="single" w:color="BFBFBF" w:sz="2"/>
        </w:tblBorders>
      </w:tblPr>
      <w:tblGrid>
        <w:gridCol w:w="700"/>
        <w:gridCol w:w="5460"/>
        <w:gridCol w:w="3200"/>
      </w:tblGrid>
      <w:tr>
        <w:trPr>
          <w:tblHeader/>
        </w:trPr>
        <w:tc>
          <w:tcPr>
            <w:tcW w:type="dxa" w:w="700"/>
            <w:shd w:fill="4035A8" w:color="auto" w:val="clear"/>
            <w:tcMar>
              <w:top w:type="dxa" w:w="90"/>
              <w:left w:type="dxa" w:w="120"/>
              <w:bottom w:type="dxa" w:w="90"/>
              <w:right w:type="dxa" w:w="120"/>
            </w:tcMar>
            <w:vAlign w:val="top"/>
          </w:tcPr>
          <w:p>
            <w:pPr>
              <w:spacing w:after="20" w:before="20" w:line="252"/>
            </w:pPr>
            <w:r>
              <w:rPr>
                <w:rFonts w:ascii="Arial" w:cs="Arial" w:eastAsia="Arial" w:hAnsi="Arial"/>
                <w:b/>
                <w:bCs/>
                <w:color w:val="FFFFFF"/>
                <w:sz w:val="19"/>
                <w:szCs w:val="19"/>
              </w:rPr>
              <w:t xml:space="preserve">#</w:t>
            </w:r>
          </w:p>
        </w:tc>
        <w:tc>
          <w:tcPr>
            <w:tcW w:type="dxa" w:w="5460"/>
            <w:shd w:fill="4035A8" w:color="auto" w:val="clear"/>
            <w:tcMar>
              <w:top w:type="dxa" w:w="90"/>
              <w:left w:type="dxa" w:w="120"/>
              <w:bottom w:type="dxa" w:w="90"/>
              <w:right w:type="dxa" w:w="120"/>
            </w:tcMar>
            <w:vAlign w:val="top"/>
          </w:tcPr>
          <w:p>
            <w:pPr>
              <w:spacing w:after="20" w:before="20" w:line="252"/>
            </w:pPr>
            <w:r>
              <w:rPr>
                <w:rFonts w:ascii="Arial" w:cs="Arial" w:eastAsia="Arial" w:hAnsi="Arial"/>
                <w:b/>
                <w:bCs/>
                <w:color w:val="FFFFFF"/>
                <w:sz w:val="19"/>
                <w:szCs w:val="19"/>
              </w:rPr>
              <w:t xml:space="preserve">Question</w:t>
            </w:r>
          </w:p>
        </w:tc>
        <w:tc>
          <w:tcPr>
            <w:tcW w:type="dxa" w:w="3200"/>
            <w:shd w:fill="4035A8" w:color="auto" w:val="clear"/>
            <w:tcMar>
              <w:top w:type="dxa" w:w="90"/>
              <w:left w:type="dxa" w:w="120"/>
              <w:bottom w:type="dxa" w:w="90"/>
              <w:right w:type="dxa" w:w="120"/>
            </w:tcMar>
            <w:vAlign w:val="top"/>
          </w:tcPr>
          <w:p>
            <w:pPr>
              <w:spacing w:after="20" w:before="20" w:line="252"/>
            </w:pPr>
            <w:r>
              <w:rPr>
                <w:rFonts w:ascii="Arial" w:cs="Arial" w:eastAsia="Arial" w:hAnsi="Arial"/>
                <w:b/>
                <w:bCs/>
                <w:color w:val="FFFFFF"/>
                <w:sz w:val="19"/>
                <w:szCs w:val="19"/>
              </w:rPr>
              <w:t xml:space="preserve">Response format required</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4.1</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Provide the CMVP FIPS 140-3 certificate number for the module we would deploy, and the security policy document.</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Certificate number and document</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4.2</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Confirm which post-quantum algorithms sit inside the validated cryptographic boundary, in the approved mode of operation.</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Explicit list, cross-referenced to the security policy</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4.3</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Is the certificate on the active list or the historical list? Does it carry an interim validation caveat?</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Status, plus expiry date</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4.4</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Does the validated version match the version we would deploy? If not, state the delta.</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Version numbers, plus delta</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4.5</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If validation is in progress: state the submission date and current stage on the modules-in-process list.</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Date and stage</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4.6</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Provide any CAVP algorithm certificate numbers, and state explicitly that these are algorithm certificates and not module validation.</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Certificate numbers, plus acknowledgement</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4.7</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Do you hold Common Criteria certification? Provide the certificate, the protection profile and the evaluation assurance level, and state whether post-quantum functions are within the evaluated scope.</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Certificate and scope statement</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4.8</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For European deployment: confirm conformance with the ECCG and ENISA agreed cryptographic mechanisms, which state that LWE and MLWE based mechanisms should not be used standalone. For German deployment, confirm alignment with BSI TR-02102-1.</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Written confirmation, plus configuration</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4.9</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How do you maintain certification across product versions, and what is your process when a version falls outside the certified boundary?</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Process description</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4.10</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Provide any other independent attestations: penetration tests, security audits, third-party cryptographic review.</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Reports with dates and scope</w:t>
            </w:r>
          </w:p>
        </w:tc>
      </w:tr>
    </w:tbl>
    <w:p>
      <w:pPr>
        <w:spacing w:before="200"/>
      </w:pPr>
    </w:p>
    <w:tbl>
      <w:tblPr>
        <w:tblW w:type="dxa" w:w="9360"/>
        <w:tblBorders>
          <w:top w:val="none" w:color="FFFFFF" w:sz="0"/>
          <w:left w:val="single" w:color="4035A8" w:sz="18"/>
          <w:bottom w:val="none" w:color="FFFFFF" w:sz="0"/>
          <w:right w:val="none" w:color="FFFFFF" w:sz="0"/>
          <w:insideH w:val="none" w:color="FFFFFF" w:sz="0"/>
          <w:insideV w:val="none" w:color="FFFFFF" w:sz="0"/>
        </w:tblBorders>
      </w:tblPr>
      <w:tblGrid>
        <w:gridCol w:w="9360"/>
      </w:tblGrid>
      <w:tr>
        <w:tc>
          <w:tcPr>
            <w:tcW w:type="dxa" w:w="9360"/>
            <w:shd w:fill="DCD1FB" w:color="auto" w:val="clear"/>
            <w:tcMar>
              <w:top w:type="dxa" w:w="90"/>
              <w:left w:type="dxa" w:w="120"/>
              <w:bottom w:type="dxa" w:w="90"/>
              <w:right w:type="dxa" w:w="120"/>
            </w:tcMar>
            <w:vAlign w:val="top"/>
          </w:tcPr>
          <w:p>
            <w:pPr>
              <w:spacing w:after="20" w:before="20" w:line="252"/>
            </w:pPr>
            <w:r>
              <w:rPr>
                <w:rFonts w:ascii="Arial" w:cs="Arial" w:eastAsia="Arial" w:hAnsi="Arial"/>
                <w:b/>
                <w:bCs/>
                <w:color w:val="1A1440"/>
                <w:sz w:val="19"/>
                <w:szCs w:val="19"/>
              </w:rPr>
              <w:t xml:space="preserve">A strong answer</w:t>
            </w:r>
          </w:p>
          <w:p>
            <w:pPr>
              <w:spacing w:after="20" w:before="20" w:line="252"/>
            </w:pPr>
            <w:r>
              <w:rPr>
                <w:rFonts w:ascii="Arial" w:cs="Arial" w:eastAsia="Arial" w:hAnsi="Arial"/>
                <w:color w:val="000000"/>
                <w:sz w:val="19"/>
                <w:szCs w:val="19"/>
              </w:rPr>
              <w:t xml:space="preserve">Supplies a certificate number that resolves on the public validation list. Volunteers the version delta before being asked. States queue position honestly rather than implying validation.</w:t>
            </w:r>
          </w:p>
        </w:tc>
      </w:tr>
    </w:tbl>
    <w:p>
      <w:pPr>
        <w:spacing w:before="140"/>
      </w:pPr>
    </w:p>
    <w:tbl>
      <w:tblPr>
        <w:tblW w:type="dxa" w:w="9360"/>
        <w:tblBorders>
          <w:top w:val="none" w:color="FFFFFF" w:sz="0"/>
          <w:left w:val="single" w:color="CC2B1F" w:sz="18"/>
          <w:bottom w:val="none" w:color="FFFFFF" w:sz="0"/>
          <w:right w:val="none" w:color="FFFFFF" w:sz="0"/>
          <w:insideH w:val="none" w:color="FFFFFF" w:sz="0"/>
          <w:insideV w:val="none" w:color="FFFFFF" w:sz="0"/>
        </w:tblBorders>
      </w:tblPr>
      <w:tblGrid>
        <w:gridCol w:w="9360"/>
      </w:tblGrid>
      <w:tr>
        <w:tc>
          <w:tcPr>
            <w:tcW w:type="dxa" w:w="9360"/>
            <w:shd w:fill="FBE9E7" w:color="auto" w:val="clear"/>
            <w:tcMar>
              <w:top w:type="dxa" w:w="90"/>
              <w:left w:type="dxa" w:w="120"/>
              <w:bottom w:type="dxa" w:w="90"/>
              <w:right w:type="dxa" w:w="120"/>
            </w:tcMar>
            <w:vAlign w:val="top"/>
          </w:tcPr>
          <w:p>
            <w:pPr>
              <w:spacing w:after="20" w:before="20" w:line="252"/>
            </w:pPr>
            <w:r>
              <w:rPr>
                <w:rFonts w:ascii="Arial" w:cs="Arial" w:eastAsia="Arial" w:hAnsi="Arial"/>
                <w:b/>
                <w:bCs/>
                <w:color w:val="1A1440"/>
                <w:sz w:val="19"/>
                <w:szCs w:val="19"/>
              </w:rPr>
              <w:t xml:space="preserve">Disqualifying answers</w:t>
            </w:r>
          </w:p>
          <w:p>
            <w:pPr>
              <w:spacing w:after="20" w:before="20" w:line="252"/>
            </w:pPr>
            <w:r>
              <w:rPr>
                <w:rFonts w:ascii="Arial" w:cs="Arial" w:eastAsia="Arial" w:hAnsi="Arial"/>
                <w:color w:val="000000"/>
                <w:sz w:val="19"/>
                <w:szCs w:val="19"/>
              </w:rPr>
              <w:t xml:space="preserve">Presenting a CAVP algorithm certificate as module validation.</w:t>
            </w:r>
          </w:p>
          <w:p>
            <w:pPr>
              <w:spacing w:after="20" w:before="20" w:line="252"/>
            </w:pPr>
            <w:r>
              <w:rPr>
                <w:rFonts w:ascii="Arial" w:cs="Arial" w:eastAsia="Arial" w:hAnsi="Arial"/>
                <w:color w:val="000000"/>
                <w:sz w:val="19"/>
                <w:szCs w:val="19"/>
              </w:rPr>
              <w:t xml:space="preserve">Presenting a modules-in-process listing as validation.</w:t>
            </w:r>
          </w:p>
          <w:p>
            <w:pPr>
              <w:spacing w:after="20" w:before="20" w:line="252"/>
            </w:pPr>
            <w:r>
              <w:rPr>
                <w:rFonts w:ascii="Arial" w:cs="Arial" w:eastAsia="Arial" w:hAnsi="Arial"/>
                <w:color w:val="000000"/>
                <w:sz w:val="19"/>
                <w:szCs w:val="19"/>
              </w:rPr>
              <w:t xml:space="preserve">Presenting a quantum key distribution protection profile as post-quantum certification.</w:t>
            </w:r>
          </w:p>
          <w:p>
            <w:pPr>
              <w:spacing w:after="20" w:before="20" w:line="252"/>
            </w:pPr>
            <w:r>
              <w:rPr>
                <w:rFonts w:ascii="Arial" w:cs="Arial" w:eastAsia="Arial" w:hAnsi="Arial"/>
                <w:color w:val="000000"/>
                <w:sz w:val="19"/>
                <w:szCs w:val="19"/>
              </w:rPr>
              <w:t xml:space="preserve">Using the phrase 'quantum-safe certified'. No such certification exists.</w:t>
            </w:r>
          </w:p>
          <w:p>
            <w:pPr>
              <w:spacing w:after="20" w:before="20" w:line="252"/>
            </w:pPr>
            <w:r>
              <w:rPr>
                <w:rFonts w:ascii="Arial" w:cs="Arial" w:eastAsia="Arial" w:hAnsi="Arial"/>
                <w:color w:val="000000"/>
                <w:sz w:val="19"/>
                <w:szCs w:val="19"/>
              </w:rPr>
              <w:t xml:space="preserve">A certificate whose validated algorithm list contains no post-quantum algorithm, presented as evidence of post-quantum validation.</w:t>
            </w:r>
          </w:p>
        </w:tc>
      </w:tr>
    </w:tbl>
    <w:p>
      <w:r>
        <w:br w:type="page"/>
      </w:r>
    </w:p>
    <w:p>
      <w:pPr>
        <w:pStyle w:val="Heading1"/>
        <w:pBdr>
          <w:bottom w:val="single" w:color="4035A8" w:sz="8" w:space="6"/>
        </w:pBdr>
        <w:spacing w:after="160" w:before="360"/>
      </w:pPr>
      <w:r>
        <w:rPr>
          <w:rFonts w:ascii="Arial" w:cs="Arial" w:eastAsia="Arial" w:hAnsi="Arial"/>
          <w:b/>
          <w:bCs/>
          <w:color w:val="4035A8"/>
          <w:sz w:val="30"/>
          <w:szCs w:val="30"/>
        </w:rPr>
        <w:t xml:space="preserve">Section 5  |  Crypto-agility (B1)</w:t>
      </w:r>
    </w:p>
    <w:p>
      <w:pPr>
        <w:spacing w:after="120" w:before="60" w:line="264"/>
      </w:pPr>
      <w:r>
        <w:rPr>
          <w:rFonts w:ascii="Arial" w:cs="Arial" w:eastAsia="Arial" w:hAnsi="Arial"/>
          <w:color w:val="000000"/>
          <w:sz w:val="20"/>
          <w:szCs w:val="20"/>
        </w:rPr>
        <w:t xml:space="preserve">The highest-weighted criterion in the standard, because it is the only one that protects you against being wrong about everything else. NIST CSWP 39 defines cryptographic agility as the capabilities needed to replace and adapt cryptographic algorithms while preserving security and ongoing operations. The Crypto Agility Maturity Model provides a five-level scale, and level 3, demonstrated migration, is the meaningful procurement bar.</w:t>
      </w:r>
    </w:p>
    <w:p>
      <w:pPr>
        <w:spacing w:after="60" w:before="100"/>
      </w:pPr>
    </w:p>
    <w:tbl>
      <w:tblPr>
        <w:tblW w:type="dxa" w:w="9360"/>
        <w:tblBorders>
          <w:top w:val="single" w:color="BFBFBF" w:sz="2"/>
          <w:left w:val="single" w:color="BFBFBF" w:sz="2"/>
          <w:bottom w:val="single" w:color="BFBFBF" w:sz="2"/>
          <w:right w:val="single" w:color="BFBFBF" w:sz="2"/>
          <w:insideH w:val="single" w:color="BFBFBF" w:sz="2"/>
          <w:insideV w:val="single" w:color="BFBFBF" w:sz="2"/>
        </w:tblBorders>
      </w:tblPr>
      <w:tblGrid>
        <w:gridCol w:w="700"/>
        <w:gridCol w:w="5460"/>
        <w:gridCol w:w="3200"/>
      </w:tblGrid>
      <w:tr>
        <w:trPr>
          <w:tblHeader/>
        </w:trPr>
        <w:tc>
          <w:tcPr>
            <w:tcW w:type="dxa" w:w="700"/>
            <w:shd w:fill="4035A8" w:color="auto" w:val="clear"/>
            <w:tcMar>
              <w:top w:type="dxa" w:w="90"/>
              <w:left w:type="dxa" w:w="120"/>
              <w:bottom w:type="dxa" w:w="90"/>
              <w:right w:type="dxa" w:w="120"/>
            </w:tcMar>
            <w:vAlign w:val="top"/>
          </w:tcPr>
          <w:p>
            <w:pPr>
              <w:spacing w:after="20" w:before="20" w:line="252"/>
            </w:pPr>
            <w:r>
              <w:rPr>
                <w:rFonts w:ascii="Arial" w:cs="Arial" w:eastAsia="Arial" w:hAnsi="Arial"/>
                <w:b/>
                <w:bCs/>
                <w:color w:val="FFFFFF"/>
                <w:sz w:val="19"/>
                <w:szCs w:val="19"/>
              </w:rPr>
              <w:t xml:space="preserve">#</w:t>
            </w:r>
          </w:p>
        </w:tc>
        <w:tc>
          <w:tcPr>
            <w:tcW w:type="dxa" w:w="5460"/>
            <w:shd w:fill="4035A8" w:color="auto" w:val="clear"/>
            <w:tcMar>
              <w:top w:type="dxa" w:w="90"/>
              <w:left w:type="dxa" w:w="120"/>
              <w:bottom w:type="dxa" w:w="90"/>
              <w:right w:type="dxa" w:w="120"/>
            </w:tcMar>
            <w:vAlign w:val="top"/>
          </w:tcPr>
          <w:p>
            <w:pPr>
              <w:spacing w:after="20" w:before="20" w:line="252"/>
            </w:pPr>
            <w:r>
              <w:rPr>
                <w:rFonts w:ascii="Arial" w:cs="Arial" w:eastAsia="Arial" w:hAnsi="Arial"/>
                <w:b/>
                <w:bCs/>
                <w:color w:val="FFFFFF"/>
                <w:sz w:val="19"/>
                <w:szCs w:val="19"/>
              </w:rPr>
              <w:t xml:space="preserve">Question</w:t>
            </w:r>
          </w:p>
        </w:tc>
        <w:tc>
          <w:tcPr>
            <w:tcW w:type="dxa" w:w="3200"/>
            <w:shd w:fill="4035A8" w:color="auto" w:val="clear"/>
            <w:tcMar>
              <w:top w:type="dxa" w:w="90"/>
              <w:left w:type="dxa" w:w="120"/>
              <w:bottom w:type="dxa" w:w="90"/>
              <w:right w:type="dxa" w:w="120"/>
            </w:tcMar>
            <w:vAlign w:val="top"/>
          </w:tcPr>
          <w:p>
            <w:pPr>
              <w:spacing w:after="20" w:before="20" w:line="252"/>
            </w:pPr>
            <w:r>
              <w:rPr>
                <w:rFonts w:ascii="Arial" w:cs="Arial" w:eastAsia="Arial" w:hAnsi="Arial"/>
                <w:b/>
                <w:bCs/>
                <w:color w:val="FFFFFF"/>
                <w:sz w:val="19"/>
                <w:szCs w:val="19"/>
              </w:rPr>
              <w:t xml:space="preserve">Response format required</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5.1</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Is the algorithm identifier a configuration item or a compile-time constant? Show us where it is set.</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Configuration file or API reference</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5.2</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Can an algorithm or parameter set be changed without replacing the product, and without a firmware or hardware refresh?</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Yes or no, plus mechanism</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5.3</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Describe an algorithm migration you have completed in a customer production environment, including what broke and how long it took.</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Narrative, plus a contactable reference</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5.4</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Are hybrid modes supported, and can hybrid posture be changed by configuration per deployment, per jurisdiction and per protocol?</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Yes or no per dimension</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5.5</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What is your committed time from a new algorithm being standardised to it being available in the shipping product?</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Number of months, plus contractual willingness</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5.6</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What is your track record against that number? Cite the last two algorithm or parameter set additions with dates.</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Dates</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5.7</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Does the product maintain an internal inventory of its own cryptographic dependencies, so that we can determine what would need to change?</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Yes or no, plus sample output</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5.8</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Where would you place yourself on the Crypto Agility Maturity Model, and what evidence supports that level?</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Level 0 to 4, plus evidence</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5.9</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What is the rollback path if an algorithm change fails in production?</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Procedure</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5.10</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Will you commit contractually to supporting any algorithm subsequently standardised by a named body, within a stated period, at no additional licence cost?</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Yes or no</w:t>
            </w:r>
          </w:p>
        </w:tc>
      </w:tr>
    </w:tbl>
    <w:p>
      <w:pPr>
        <w:spacing w:before="200"/>
      </w:pPr>
    </w:p>
    <w:tbl>
      <w:tblPr>
        <w:tblW w:type="dxa" w:w="9360"/>
        <w:tblBorders>
          <w:top w:val="none" w:color="FFFFFF" w:sz="0"/>
          <w:left w:val="single" w:color="4035A8" w:sz="18"/>
          <w:bottom w:val="none" w:color="FFFFFF" w:sz="0"/>
          <w:right w:val="none" w:color="FFFFFF" w:sz="0"/>
          <w:insideH w:val="none" w:color="FFFFFF" w:sz="0"/>
          <w:insideV w:val="none" w:color="FFFFFF" w:sz="0"/>
        </w:tblBorders>
      </w:tblPr>
      <w:tblGrid>
        <w:gridCol w:w="9360"/>
      </w:tblGrid>
      <w:tr>
        <w:tc>
          <w:tcPr>
            <w:tcW w:type="dxa" w:w="9360"/>
            <w:shd w:fill="DCD1FB" w:color="auto" w:val="clear"/>
            <w:tcMar>
              <w:top w:type="dxa" w:w="90"/>
              <w:left w:type="dxa" w:w="120"/>
              <w:bottom w:type="dxa" w:w="90"/>
              <w:right w:type="dxa" w:w="120"/>
            </w:tcMar>
            <w:vAlign w:val="top"/>
          </w:tcPr>
          <w:p>
            <w:pPr>
              <w:spacing w:after="20" w:before="20" w:line="252"/>
            </w:pPr>
            <w:r>
              <w:rPr>
                <w:rFonts w:ascii="Arial" w:cs="Arial" w:eastAsia="Arial" w:hAnsi="Arial"/>
                <w:b/>
                <w:bCs/>
                <w:color w:val="1A1440"/>
                <w:sz w:val="19"/>
                <w:szCs w:val="19"/>
              </w:rPr>
              <w:t xml:space="preserve">A strong answer</w:t>
            </w:r>
          </w:p>
          <w:p>
            <w:pPr>
              <w:spacing w:after="20" w:before="20" w:line="252"/>
            </w:pPr>
            <w:r>
              <w:rPr>
                <w:rFonts w:ascii="Arial" w:cs="Arial" w:eastAsia="Arial" w:hAnsi="Arial"/>
                <w:color w:val="000000"/>
                <w:sz w:val="19"/>
                <w:szCs w:val="19"/>
              </w:rPr>
              <w:t xml:space="preserve">Answers 5.3 with a specific migration, a date and a contactable customer, including what went wrong. Agrees to 5.10 without qualification. Distinguishes what is configurable today from what is on the roadmap.</w:t>
            </w:r>
          </w:p>
        </w:tc>
      </w:tr>
    </w:tbl>
    <w:p>
      <w:pPr>
        <w:spacing w:before="140"/>
      </w:pPr>
    </w:p>
    <w:tbl>
      <w:tblPr>
        <w:tblW w:type="dxa" w:w="9360"/>
        <w:tblBorders>
          <w:top w:val="none" w:color="FFFFFF" w:sz="0"/>
          <w:left w:val="single" w:color="CC2B1F" w:sz="18"/>
          <w:bottom w:val="none" w:color="FFFFFF" w:sz="0"/>
          <w:right w:val="none" w:color="FFFFFF" w:sz="0"/>
          <w:insideH w:val="none" w:color="FFFFFF" w:sz="0"/>
          <w:insideV w:val="none" w:color="FFFFFF" w:sz="0"/>
        </w:tblBorders>
      </w:tblPr>
      <w:tblGrid>
        <w:gridCol w:w="9360"/>
      </w:tblGrid>
      <w:tr>
        <w:tc>
          <w:tcPr>
            <w:tcW w:type="dxa" w:w="9360"/>
            <w:shd w:fill="FBE9E7" w:color="auto" w:val="clear"/>
            <w:tcMar>
              <w:top w:type="dxa" w:w="90"/>
              <w:left w:type="dxa" w:w="120"/>
              <w:bottom w:type="dxa" w:w="90"/>
              <w:right w:type="dxa" w:w="120"/>
            </w:tcMar>
            <w:vAlign w:val="top"/>
          </w:tcPr>
          <w:p>
            <w:pPr>
              <w:spacing w:after="20" w:before="20" w:line="252"/>
            </w:pPr>
            <w:r>
              <w:rPr>
                <w:rFonts w:ascii="Arial" w:cs="Arial" w:eastAsia="Arial" w:hAnsi="Arial"/>
                <w:b/>
                <w:bCs/>
                <w:color w:val="1A1440"/>
                <w:sz w:val="19"/>
                <w:szCs w:val="19"/>
              </w:rPr>
              <w:t xml:space="preserve">Disqualifying answers</w:t>
            </w:r>
          </w:p>
          <w:p>
            <w:pPr>
              <w:spacing w:after="20" w:before="20" w:line="252"/>
            </w:pPr>
            <w:r>
              <w:rPr>
                <w:rFonts w:ascii="Arial" w:cs="Arial" w:eastAsia="Arial" w:hAnsi="Arial"/>
                <w:color w:val="000000"/>
                <w:sz w:val="19"/>
                <w:szCs w:val="19"/>
              </w:rPr>
              <w:t xml:space="preserve">'We would issue a new version' as the answer to 5.2. That is a release process, not agility.</w:t>
            </w:r>
          </w:p>
          <w:p>
            <w:pPr>
              <w:spacing w:after="20" w:before="20" w:line="252"/>
            </w:pPr>
            <w:r>
              <w:rPr>
                <w:rFonts w:ascii="Arial" w:cs="Arial" w:eastAsia="Arial" w:hAnsi="Arial"/>
                <w:color w:val="000000"/>
                <w:sz w:val="19"/>
                <w:szCs w:val="19"/>
              </w:rPr>
              <w:t xml:space="preserve">Describing agility without ever having demonstrated it. Preparation is CAMM level 2. Demonstration is level 3.</w:t>
            </w:r>
          </w:p>
          <w:p>
            <w:pPr>
              <w:spacing w:after="20" w:before="20" w:line="252"/>
            </w:pPr>
            <w:r>
              <w:rPr>
                <w:rFonts w:ascii="Arial" w:cs="Arial" w:eastAsia="Arial" w:hAnsi="Arial"/>
                <w:color w:val="000000"/>
                <w:sz w:val="19"/>
                <w:szCs w:val="19"/>
              </w:rPr>
              <w:t xml:space="preserve">A single hybrid posture with no configurability, given the divergence between ANSSI, ENISA, BSI, NCSC, ASD and NSA positions.</w:t>
            </w:r>
          </w:p>
          <w:p>
            <w:pPr>
              <w:spacing w:after="20" w:before="20" w:line="252"/>
            </w:pPr>
            <w:r>
              <w:rPr>
                <w:rFonts w:ascii="Arial" w:cs="Arial" w:eastAsia="Arial" w:hAnsi="Arial"/>
                <w:color w:val="000000"/>
                <w:sz w:val="19"/>
                <w:szCs w:val="19"/>
              </w:rPr>
              <w:t xml:space="preserve">Refusing 5.10 while claiming crypto-agility as a differentiator.</w:t>
            </w:r>
          </w:p>
        </w:tc>
      </w:tr>
    </w:tbl>
    <w:p>
      <w:r>
        <w:br w:type="page"/>
      </w:r>
    </w:p>
    <w:p>
      <w:pPr>
        <w:pStyle w:val="Heading1"/>
        <w:pBdr>
          <w:bottom w:val="single" w:color="4035A8" w:sz="8" w:space="6"/>
        </w:pBdr>
        <w:spacing w:after="160" w:before="360"/>
      </w:pPr>
      <w:r>
        <w:rPr>
          <w:rFonts w:ascii="Arial" w:cs="Arial" w:eastAsia="Arial" w:hAnsi="Arial"/>
          <w:b/>
          <w:bCs/>
          <w:color w:val="4035A8"/>
          <w:sz w:val="30"/>
          <w:szCs w:val="30"/>
        </w:rPr>
        <w:t xml:space="preserve">Section 6  |  Integration and interoperability (B2)</w:t>
      </w:r>
    </w:p>
    <w:p>
      <w:pPr>
        <w:spacing w:after="120" w:before="60" w:line="264"/>
      </w:pPr>
      <w:r>
        <w:rPr>
          <w:rFonts w:ascii="Arial" w:cs="Arial" w:eastAsia="Arial" w:hAnsi="Arial"/>
          <w:color w:val="000000"/>
          <w:sz w:val="20"/>
          <w:szCs w:val="20"/>
        </w:rPr>
        <w:t xml:space="preserve">The question is whether the product works with the estate you have, not the estate a reference architecture assumes.</w:t>
      </w:r>
    </w:p>
    <w:p>
      <w:pPr>
        <w:spacing w:after="60" w:before="100"/>
      </w:pPr>
    </w:p>
    <w:tbl>
      <w:tblPr>
        <w:tblW w:type="dxa" w:w="9360"/>
        <w:tblBorders>
          <w:top w:val="single" w:color="BFBFBF" w:sz="2"/>
          <w:left w:val="single" w:color="BFBFBF" w:sz="2"/>
          <w:bottom w:val="single" w:color="BFBFBF" w:sz="2"/>
          <w:right w:val="single" w:color="BFBFBF" w:sz="2"/>
          <w:insideH w:val="single" w:color="BFBFBF" w:sz="2"/>
          <w:insideV w:val="single" w:color="BFBFBF" w:sz="2"/>
        </w:tblBorders>
      </w:tblPr>
      <w:tblGrid>
        <w:gridCol w:w="700"/>
        <w:gridCol w:w="5460"/>
        <w:gridCol w:w="3200"/>
      </w:tblGrid>
      <w:tr>
        <w:trPr>
          <w:tblHeader/>
        </w:trPr>
        <w:tc>
          <w:tcPr>
            <w:tcW w:type="dxa" w:w="700"/>
            <w:shd w:fill="4035A8" w:color="auto" w:val="clear"/>
            <w:tcMar>
              <w:top w:type="dxa" w:w="90"/>
              <w:left w:type="dxa" w:w="120"/>
              <w:bottom w:type="dxa" w:w="90"/>
              <w:right w:type="dxa" w:w="120"/>
            </w:tcMar>
            <w:vAlign w:val="top"/>
          </w:tcPr>
          <w:p>
            <w:pPr>
              <w:spacing w:after="20" w:before="20" w:line="252"/>
            </w:pPr>
            <w:r>
              <w:rPr>
                <w:rFonts w:ascii="Arial" w:cs="Arial" w:eastAsia="Arial" w:hAnsi="Arial"/>
                <w:b/>
                <w:bCs/>
                <w:color w:val="FFFFFF"/>
                <w:sz w:val="19"/>
                <w:szCs w:val="19"/>
              </w:rPr>
              <w:t xml:space="preserve">#</w:t>
            </w:r>
          </w:p>
        </w:tc>
        <w:tc>
          <w:tcPr>
            <w:tcW w:type="dxa" w:w="5460"/>
            <w:shd w:fill="4035A8" w:color="auto" w:val="clear"/>
            <w:tcMar>
              <w:top w:type="dxa" w:w="90"/>
              <w:left w:type="dxa" w:w="120"/>
              <w:bottom w:type="dxa" w:w="90"/>
              <w:right w:type="dxa" w:w="120"/>
            </w:tcMar>
            <w:vAlign w:val="top"/>
          </w:tcPr>
          <w:p>
            <w:pPr>
              <w:spacing w:after="20" w:before="20" w:line="252"/>
            </w:pPr>
            <w:r>
              <w:rPr>
                <w:rFonts w:ascii="Arial" w:cs="Arial" w:eastAsia="Arial" w:hAnsi="Arial"/>
                <w:b/>
                <w:bCs/>
                <w:color w:val="FFFFFF"/>
                <w:sz w:val="19"/>
                <w:szCs w:val="19"/>
              </w:rPr>
              <w:t xml:space="preserve">Question</w:t>
            </w:r>
          </w:p>
        </w:tc>
        <w:tc>
          <w:tcPr>
            <w:tcW w:type="dxa" w:w="3200"/>
            <w:shd w:fill="4035A8" w:color="auto" w:val="clear"/>
            <w:tcMar>
              <w:top w:type="dxa" w:w="90"/>
              <w:left w:type="dxa" w:w="120"/>
              <w:bottom w:type="dxa" w:w="90"/>
              <w:right w:type="dxa" w:w="120"/>
            </w:tcMar>
            <w:vAlign w:val="top"/>
          </w:tcPr>
          <w:p>
            <w:pPr>
              <w:spacing w:after="20" w:before="20" w:line="252"/>
            </w:pPr>
            <w:r>
              <w:rPr>
                <w:rFonts w:ascii="Arial" w:cs="Arial" w:eastAsia="Arial" w:hAnsi="Arial"/>
                <w:b/>
                <w:bCs/>
                <w:color w:val="FFFFFF"/>
                <w:sz w:val="19"/>
                <w:szCs w:val="19"/>
              </w:rPr>
              <w:t xml:space="preserve">Response format required</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6.1</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List named, versioned integrations with our identity provider, certificate authority, hardware security modules, key management system, SIEM, CMDB and ticketing system.</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Table with versions and documentation links</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6.2</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Which integrations are productised and supported, and which would be professional services work?</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Split list, with effort estimates</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6.3</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Provide interoperability test evidence against independent implementations, not only against your own client.</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Named counterparties, test reports</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6.4</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How does the product behave in a mixed estate where some endpoints support post-quantum algorithms and some do not?</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Narrative, plus configuration options</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6.5</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Provide measured performance data: handshake latency, throughput, signature size, key size, CPU and memory impact, on hardware comparable to ours.</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Measured figures with test conditions</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6.6</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What is the performance impact at our stated transaction volumes? State the assumptions.</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Figures and assumptions</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6.7</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Which constrained environments are supported: embedded targets, operational technology protocols, devices with fixed firmware?</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List, with evidence of deployment</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6.8</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For legacy systems, is your approach direct upgrade or a wrapper or proxy? If a wrapper, what is the intended lifetime and the exit path?</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Approach, lifetime, exit path</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6.9</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What are the minimum platform, network and privilege requirements for deployment?</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Specification</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6.10</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What is the API and data model stability commitment across major versions?</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Policy</w:t>
            </w:r>
          </w:p>
        </w:tc>
      </w:tr>
    </w:tbl>
    <w:p>
      <w:pPr>
        <w:spacing w:before="200"/>
      </w:pPr>
    </w:p>
    <w:tbl>
      <w:tblPr>
        <w:tblW w:type="dxa" w:w="9360"/>
        <w:tblBorders>
          <w:top w:val="none" w:color="FFFFFF" w:sz="0"/>
          <w:left w:val="single" w:color="4035A8" w:sz="18"/>
          <w:bottom w:val="none" w:color="FFFFFF" w:sz="0"/>
          <w:right w:val="none" w:color="FFFFFF" w:sz="0"/>
          <w:insideH w:val="none" w:color="FFFFFF" w:sz="0"/>
          <w:insideV w:val="none" w:color="FFFFFF" w:sz="0"/>
        </w:tblBorders>
      </w:tblPr>
      <w:tblGrid>
        <w:gridCol w:w="9360"/>
      </w:tblGrid>
      <w:tr>
        <w:tc>
          <w:tcPr>
            <w:tcW w:type="dxa" w:w="9360"/>
            <w:shd w:fill="DCD1FB" w:color="auto" w:val="clear"/>
            <w:tcMar>
              <w:top w:type="dxa" w:w="90"/>
              <w:left w:type="dxa" w:w="120"/>
              <w:bottom w:type="dxa" w:w="90"/>
              <w:right w:type="dxa" w:w="120"/>
            </w:tcMar>
            <w:vAlign w:val="top"/>
          </w:tcPr>
          <w:p>
            <w:pPr>
              <w:spacing w:after="20" w:before="20" w:line="252"/>
            </w:pPr>
            <w:r>
              <w:rPr>
                <w:rFonts w:ascii="Arial" w:cs="Arial" w:eastAsia="Arial" w:hAnsi="Arial"/>
                <w:b/>
                <w:bCs/>
                <w:color w:val="1A1440"/>
                <w:sz w:val="19"/>
                <w:szCs w:val="19"/>
              </w:rPr>
              <w:t xml:space="preserve">A strong answer</w:t>
            </w:r>
          </w:p>
          <w:p>
            <w:pPr>
              <w:spacing w:after="20" w:before="20" w:line="252"/>
            </w:pPr>
            <w:r>
              <w:rPr>
                <w:rFonts w:ascii="Arial" w:cs="Arial" w:eastAsia="Arial" w:hAnsi="Arial"/>
                <w:color w:val="000000"/>
                <w:sz w:val="19"/>
                <w:szCs w:val="19"/>
              </w:rPr>
              <w:t xml:space="preserve">Supplies measured figures with stated test conditions rather than datasheet claims. Names counterparties for interoperability testing. Is explicit that a wrapper approach is a time-limited mitigation.</w:t>
            </w:r>
          </w:p>
        </w:tc>
      </w:tr>
    </w:tbl>
    <w:p>
      <w:pPr>
        <w:spacing w:before="140"/>
      </w:pPr>
    </w:p>
    <w:tbl>
      <w:tblPr>
        <w:tblW w:type="dxa" w:w="9360"/>
        <w:tblBorders>
          <w:top w:val="none" w:color="FFFFFF" w:sz="0"/>
          <w:left w:val="single" w:color="CC2B1F" w:sz="18"/>
          <w:bottom w:val="none" w:color="FFFFFF" w:sz="0"/>
          <w:right w:val="none" w:color="FFFFFF" w:sz="0"/>
          <w:insideH w:val="none" w:color="FFFFFF" w:sz="0"/>
          <w:insideV w:val="none" w:color="FFFFFF" w:sz="0"/>
        </w:tblBorders>
      </w:tblPr>
      <w:tblGrid>
        <w:gridCol w:w="9360"/>
      </w:tblGrid>
      <w:tr>
        <w:tc>
          <w:tcPr>
            <w:tcW w:type="dxa" w:w="9360"/>
            <w:shd w:fill="FBE9E7" w:color="auto" w:val="clear"/>
            <w:tcMar>
              <w:top w:type="dxa" w:w="90"/>
              <w:left w:type="dxa" w:w="120"/>
              <w:bottom w:type="dxa" w:w="90"/>
              <w:right w:type="dxa" w:w="120"/>
            </w:tcMar>
            <w:vAlign w:val="top"/>
          </w:tcPr>
          <w:p>
            <w:pPr>
              <w:spacing w:after="20" w:before="20" w:line="252"/>
            </w:pPr>
            <w:r>
              <w:rPr>
                <w:rFonts w:ascii="Arial" w:cs="Arial" w:eastAsia="Arial" w:hAnsi="Arial"/>
                <w:b/>
                <w:bCs/>
                <w:color w:val="1A1440"/>
                <w:sz w:val="19"/>
                <w:szCs w:val="19"/>
              </w:rPr>
              <w:t xml:space="preserve">Disqualifying answers</w:t>
            </w:r>
          </w:p>
          <w:p>
            <w:pPr>
              <w:spacing w:after="20" w:before="20" w:line="252"/>
            </w:pPr>
            <w:r>
              <w:rPr>
                <w:rFonts w:ascii="Arial" w:cs="Arial" w:eastAsia="Arial" w:hAnsi="Arial"/>
                <w:color w:val="000000"/>
                <w:sz w:val="19"/>
                <w:szCs w:val="19"/>
              </w:rPr>
              <w:t xml:space="preserve">'Supports standard APIs' in place of named, versioned integrations.</w:t>
            </w:r>
          </w:p>
          <w:p>
            <w:pPr>
              <w:spacing w:after="20" w:before="20" w:line="252"/>
            </w:pPr>
            <w:r>
              <w:rPr>
                <w:rFonts w:ascii="Arial" w:cs="Arial" w:eastAsia="Arial" w:hAnsi="Arial"/>
                <w:color w:val="000000"/>
                <w:sz w:val="19"/>
                <w:szCs w:val="19"/>
              </w:rPr>
              <w:t xml:space="preserve">Interoperability demonstrated only against the vendor's own components.</w:t>
            </w:r>
          </w:p>
          <w:p>
            <w:pPr>
              <w:spacing w:after="20" w:before="20" w:line="252"/>
            </w:pPr>
            <w:r>
              <w:rPr>
                <w:rFonts w:ascii="Arial" w:cs="Arial" w:eastAsia="Arial" w:hAnsi="Arial"/>
                <w:color w:val="000000"/>
                <w:sz w:val="19"/>
                <w:szCs w:val="19"/>
              </w:rPr>
              <w:t xml:space="preserve">Presenting a proxy or gateway in front of a quantum-vulnerable estate as a completed migration.</w:t>
            </w:r>
          </w:p>
          <w:p>
            <w:pPr>
              <w:spacing w:after="20" w:before="20" w:line="252"/>
            </w:pPr>
            <w:r>
              <w:rPr>
                <w:rFonts w:ascii="Arial" w:cs="Arial" w:eastAsia="Arial" w:hAnsi="Arial"/>
                <w:color w:val="000000"/>
                <w:sz w:val="19"/>
                <w:szCs w:val="19"/>
              </w:rPr>
              <w:t xml:space="preserve">Performance figures with no stated test conditions.</w:t>
            </w:r>
          </w:p>
        </w:tc>
      </w:tr>
    </w:tbl>
    <w:p>
      <w:r>
        <w:br w:type="page"/>
      </w:r>
    </w:p>
    <w:p>
      <w:pPr>
        <w:pStyle w:val="Heading1"/>
        <w:pBdr>
          <w:bottom w:val="single" w:color="4035A8" w:sz="8" w:space="6"/>
        </w:pBdr>
        <w:spacing w:after="160" w:before="360"/>
      </w:pPr>
      <w:r>
        <w:rPr>
          <w:rFonts w:ascii="Arial" w:cs="Arial" w:eastAsia="Arial" w:hAnsi="Arial"/>
          <w:b/>
          <w:bCs/>
          <w:color w:val="4035A8"/>
          <w:sz w:val="30"/>
          <w:szCs w:val="30"/>
        </w:rPr>
        <w:t xml:space="preserve">Section 7  |  Deployment model, data governance and jurisdictional control (B3)</w:t>
      </w:r>
    </w:p>
    <w:p>
      <w:pPr>
        <w:spacing w:after="120" w:before="60" w:line="264"/>
      </w:pPr>
      <w:r>
        <w:rPr>
          <w:rFonts w:ascii="Arial" w:cs="Arial" w:eastAsia="Arial" w:hAnsi="Arial"/>
          <w:color w:val="000000"/>
          <w:sz w:val="20"/>
          <w:szCs w:val="20"/>
        </w:rPr>
        <w:t xml:space="preserve">Where your data, keys and cryptographic inventory actually reside, who can technically access them, and under which legal regime. Weight this heavily for defence, intelligence and classified environments. Treat it as a constraint to be satisfied elsewhere.</w:t>
      </w:r>
    </w:p>
    <w:p>
      <w:pPr>
        <w:spacing w:after="60" w:before="100"/>
      </w:pPr>
    </w:p>
    <w:tbl>
      <w:tblPr>
        <w:tblW w:type="dxa" w:w="9360"/>
        <w:tblBorders>
          <w:top w:val="single" w:color="BFBFBF" w:sz="2"/>
          <w:left w:val="single" w:color="BFBFBF" w:sz="2"/>
          <w:bottom w:val="single" w:color="BFBFBF" w:sz="2"/>
          <w:right w:val="single" w:color="BFBFBF" w:sz="2"/>
          <w:insideH w:val="single" w:color="BFBFBF" w:sz="2"/>
          <w:insideV w:val="single" w:color="BFBFBF" w:sz="2"/>
        </w:tblBorders>
      </w:tblPr>
      <w:tblGrid>
        <w:gridCol w:w="700"/>
        <w:gridCol w:w="5460"/>
        <w:gridCol w:w="3200"/>
      </w:tblGrid>
      <w:tr>
        <w:trPr>
          <w:tblHeader/>
        </w:trPr>
        <w:tc>
          <w:tcPr>
            <w:tcW w:type="dxa" w:w="700"/>
            <w:shd w:fill="4035A8" w:color="auto" w:val="clear"/>
            <w:tcMar>
              <w:top w:type="dxa" w:w="90"/>
              <w:left w:type="dxa" w:w="120"/>
              <w:bottom w:type="dxa" w:w="90"/>
              <w:right w:type="dxa" w:w="120"/>
            </w:tcMar>
            <w:vAlign w:val="top"/>
          </w:tcPr>
          <w:p>
            <w:pPr>
              <w:spacing w:after="20" w:before="20" w:line="252"/>
            </w:pPr>
            <w:r>
              <w:rPr>
                <w:rFonts w:ascii="Arial" w:cs="Arial" w:eastAsia="Arial" w:hAnsi="Arial"/>
                <w:b/>
                <w:bCs/>
                <w:color w:val="FFFFFF"/>
                <w:sz w:val="19"/>
                <w:szCs w:val="19"/>
              </w:rPr>
              <w:t xml:space="preserve">#</w:t>
            </w:r>
          </w:p>
        </w:tc>
        <w:tc>
          <w:tcPr>
            <w:tcW w:type="dxa" w:w="5460"/>
            <w:shd w:fill="4035A8" w:color="auto" w:val="clear"/>
            <w:tcMar>
              <w:top w:type="dxa" w:w="90"/>
              <w:left w:type="dxa" w:w="120"/>
              <w:bottom w:type="dxa" w:w="90"/>
              <w:right w:type="dxa" w:w="120"/>
            </w:tcMar>
            <w:vAlign w:val="top"/>
          </w:tcPr>
          <w:p>
            <w:pPr>
              <w:spacing w:after="20" w:before="20" w:line="252"/>
            </w:pPr>
            <w:r>
              <w:rPr>
                <w:rFonts w:ascii="Arial" w:cs="Arial" w:eastAsia="Arial" w:hAnsi="Arial"/>
                <w:b/>
                <w:bCs/>
                <w:color w:val="FFFFFF"/>
                <w:sz w:val="19"/>
                <w:szCs w:val="19"/>
              </w:rPr>
              <w:t xml:space="preserve">Question</w:t>
            </w:r>
          </w:p>
        </w:tc>
        <w:tc>
          <w:tcPr>
            <w:tcW w:type="dxa" w:w="3200"/>
            <w:shd w:fill="4035A8" w:color="auto" w:val="clear"/>
            <w:tcMar>
              <w:top w:type="dxa" w:w="90"/>
              <w:left w:type="dxa" w:w="120"/>
              <w:bottom w:type="dxa" w:w="90"/>
              <w:right w:type="dxa" w:w="120"/>
            </w:tcMar>
            <w:vAlign w:val="top"/>
          </w:tcPr>
          <w:p>
            <w:pPr>
              <w:spacing w:after="20" w:before="20" w:line="252"/>
            </w:pPr>
            <w:r>
              <w:rPr>
                <w:rFonts w:ascii="Arial" w:cs="Arial" w:eastAsia="Arial" w:hAnsi="Arial"/>
                <w:b/>
                <w:bCs/>
                <w:color w:val="FFFFFF"/>
                <w:sz w:val="19"/>
                <w:szCs w:val="19"/>
              </w:rPr>
              <w:t xml:space="preserve">Response format required</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7.1</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Does your architecture ever place you in possession of, or in a position to access, customer key material? Under what conditions, and prevented by what technical control?</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Yes or no, plus the control</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7.2</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Where do discovery findings, cryptographic inventories, credentials and scan results reside? Name the storage and the jurisdiction.</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Named storage, named jurisdiction</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7.3</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Can all such data be held in customer-controlled storage that you cannot read? Describe the mechanism.</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Yes or no, plus mechanism</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7.4</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Provide a complete documented list of outbound network connections the product makes, with destination, purpose and frequency.</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Egress list</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7.5</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Which of those connections can be disabled without loss of core function, and which cannot?</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Split list</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7.6</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Can the product be installed and operated with no external network connectivity at any point? Address licensing, entitlement checks, telemetry and updates separately.</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Yes or no per item</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7.7</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Is the installation package transferable via approved media, signed, and independently verifiable at install time? Describe the verification procedure.</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Procedure and signing detail</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7.8</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Can updates be delivered through our change management process rather than an automatic channel?</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Yes or no, plus mechanism</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7.9</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Can your personnel obtain remote access to a production environment, for support or any other purpose? What technical control prevents it, and what audit record would show it?</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Control and audit mechanism</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7.10</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Under which country's law do you operate, where is data processed, and what is your position on lawful access requests from a foreign jurisdiction?</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Written statement</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7.11</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What subprocessors and third-party services does the product depend on, and in which jurisdictions do they operate?</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Full list</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7.12</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Will you warrant the data residency and egress position contractually, and notify us of any change to the egress profile?</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Yes or no</w:t>
            </w:r>
          </w:p>
        </w:tc>
      </w:tr>
    </w:tbl>
    <w:p>
      <w:pPr>
        <w:spacing w:before="200"/>
      </w:pPr>
    </w:p>
    <w:tbl>
      <w:tblPr>
        <w:tblW w:type="dxa" w:w="9360"/>
        <w:tblBorders>
          <w:top w:val="none" w:color="FFFFFF" w:sz="0"/>
          <w:left w:val="single" w:color="4035A8" w:sz="18"/>
          <w:bottom w:val="none" w:color="FFFFFF" w:sz="0"/>
          <w:right w:val="none" w:color="FFFFFF" w:sz="0"/>
          <w:insideH w:val="none" w:color="FFFFFF" w:sz="0"/>
          <w:insideV w:val="none" w:color="FFFFFF" w:sz="0"/>
        </w:tblBorders>
      </w:tblPr>
      <w:tblGrid>
        <w:gridCol w:w="9360"/>
      </w:tblGrid>
      <w:tr>
        <w:tc>
          <w:tcPr>
            <w:tcW w:type="dxa" w:w="9360"/>
            <w:shd w:fill="DCD1FB" w:color="auto" w:val="clear"/>
            <w:tcMar>
              <w:top w:type="dxa" w:w="90"/>
              <w:left w:type="dxa" w:w="120"/>
              <w:bottom w:type="dxa" w:w="90"/>
              <w:right w:type="dxa" w:w="120"/>
            </w:tcMar>
            <w:vAlign w:val="top"/>
          </w:tcPr>
          <w:p>
            <w:pPr>
              <w:spacing w:after="20" w:before="20" w:line="252"/>
            </w:pPr>
            <w:r>
              <w:rPr>
                <w:rFonts w:ascii="Arial" w:cs="Arial" w:eastAsia="Arial" w:hAnsi="Arial"/>
                <w:b/>
                <w:bCs/>
                <w:color w:val="1A1440"/>
                <w:sz w:val="19"/>
                <w:szCs w:val="19"/>
              </w:rPr>
              <w:t xml:space="preserve">A strong answer</w:t>
            </w:r>
          </w:p>
          <w:p>
            <w:pPr>
              <w:spacing w:after="20" w:before="20" w:line="252"/>
            </w:pPr>
            <w:r>
              <w:rPr>
                <w:rFonts w:ascii="Arial" w:cs="Arial" w:eastAsia="Arial" w:hAnsi="Arial"/>
                <w:color w:val="000000"/>
                <w:sz w:val="19"/>
                <w:szCs w:val="19"/>
              </w:rPr>
              <w:t xml:space="preserve">An architecture in which the vendor could not access customer data even if compelled, evidenced technically rather than contractually. A complete egress list volunteered without prompting. Willingness to warrant it.</w:t>
            </w:r>
          </w:p>
        </w:tc>
      </w:tr>
    </w:tbl>
    <w:p>
      <w:pPr>
        <w:spacing w:before="140"/>
      </w:pPr>
    </w:p>
    <w:tbl>
      <w:tblPr>
        <w:tblW w:type="dxa" w:w="9360"/>
        <w:tblBorders>
          <w:top w:val="none" w:color="FFFFFF" w:sz="0"/>
          <w:left w:val="single" w:color="CC2B1F" w:sz="18"/>
          <w:bottom w:val="none" w:color="FFFFFF" w:sz="0"/>
          <w:right w:val="none" w:color="FFFFFF" w:sz="0"/>
          <w:insideH w:val="none" w:color="FFFFFF" w:sz="0"/>
          <w:insideV w:val="none" w:color="FFFFFF" w:sz="0"/>
        </w:tblBorders>
      </w:tblPr>
      <w:tblGrid>
        <w:gridCol w:w="9360"/>
      </w:tblGrid>
      <w:tr>
        <w:tc>
          <w:tcPr>
            <w:tcW w:type="dxa" w:w="9360"/>
            <w:shd w:fill="FBE9E7" w:color="auto" w:val="clear"/>
            <w:tcMar>
              <w:top w:type="dxa" w:w="90"/>
              <w:left w:type="dxa" w:w="120"/>
              <w:bottom w:type="dxa" w:w="90"/>
              <w:right w:type="dxa" w:w="120"/>
            </w:tcMar>
            <w:vAlign w:val="top"/>
          </w:tcPr>
          <w:p>
            <w:pPr>
              <w:spacing w:after="20" w:before="20" w:line="252"/>
            </w:pPr>
            <w:r>
              <w:rPr>
                <w:rFonts w:ascii="Arial" w:cs="Arial" w:eastAsia="Arial" w:hAnsi="Arial"/>
                <w:b/>
                <w:bCs/>
                <w:color w:val="1A1440"/>
                <w:sz w:val="19"/>
                <w:szCs w:val="19"/>
              </w:rPr>
              <w:t xml:space="preserve">Disqualifying answers</w:t>
            </w:r>
          </w:p>
          <w:p>
            <w:pPr>
              <w:spacing w:after="20" w:before="20" w:line="252"/>
            </w:pPr>
            <w:r>
              <w:rPr>
                <w:rFonts w:ascii="Arial" w:cs="Arial" w:eastAsia="Arial" w:hAnsi="Arial"/>
                <w:color w:val="000000"/>
                <w:sz w:val="19"/>
                <w:szCs w:val="19"/>
              </w:rPr>
              <w:t xml:space="preserve">Claiming disconnected operation while requiring periodic connectivity for licensing, entitlement, telemetry or updates.</w:t>
            </w:r>
          </w:p>
          <w:p>
            <w:pPr>
              <w:spacing w:after="20" w:before="20" w:line="252"/>
            </w:pPr>
            <w:r>
              <w:rPr>
                <w:rFonts w:ascii="Arial" w:cs="Arial" w:eastAsia="Arial" w:hAnsi="Arial"/>
                <w:color w:val="000000"/>
                <w:sz w:val="19"/>
                <w:szCs w:val="19"/>
              </w:rPr>
              <w:t xml:space="preserve">Keeping keys local while shipping cryptographic inventories to a vendor-hosted analytics tier.</w:t>
            </w:r>
          </w:p>
          <w:p>
            <w:pPr>
              <w:spacing w:after="20" w:before="20" w:line="252"/>
            </w:pPr>
            <w:r>
              <w:rPr>
                <w:rFonts w:ascii="Arial" w:cs="Arial" w:eastAsia="Arial" w:hAnsi="Arial"/>
                <w:color w:val="000000"/>
                <w:sz w:val="19"/>
                <w:szCs w:val="19"/>
              </w:rPr>
              <w:t xml:space="preserve">Answering 7.1 with a contractual commitment where a technical control was asked for.</w:t>
            </w:r>
          </w:p>
          <w:p>
            <w:pPr>
              <w:spacing w:after="20" w:before="20" w:line="252"/>
            </w:pPr>
            <w:r>
              <w:rPr>
                <w:rFonts w:ascii="Arial" w:cs="Arial" w:eastAsia="Arial" w:hAnsi="Arial"/>
                <w:color w:val="000000"/>
                <w:sz w:val="19"/>
                <w:szCs w:val="19"/>
              </w:rPr>
              <w:t xml:space="preserve">An incomplete egress list, discovered during the pilot by packet capture.</w:t>
            </w:r>
          </w:p>
        </w:tc>
      </w:tr>
    </w:tbl>
    <w:p>
      <w:r>
        <w:br w:type="page"/>
      </w:r>
    </w:p>
    <w:p>
      <w:pPr>
        <w:pStyle w:val="Heading1"/>
        <w:pBdr>
          <w:bottom w:val="single" w:color="4035A8" w:sz="8" w:space="6"/>
        </w:pBdr>
        <w:spacing w:after="160" w:before="360"/>
      </w:pPr>
      <w:r>
        <w:rPr>
          <w:rFonts w:ascii="Arial" w:cs="Arial" w:eastAsia="Arial" w:hAnsi="Arial"/>
          <w:b/>
          <w:bCs/>
          <w:color w:val="4035A8"/>
          <w:sz w:val="30"/>
          <w:szCs w:val="30"/>
        </w:rPr>
        <w:t xml:space="preserve">Section 8  |  Discovery and cryptographic inventory quality (C1)</w:t>
      </w:r>
    </w:p>
    <w:p>
      <w:pPr>
        <w:spacing w:after="120" w:before="60" w:line="264"/>
      </w:pPr>
      <w:r>
        <w:rPr>
          <w:rFonts w:ascii="Arial" w:cs="Arial" w:eastAsia="Arial" w:hAnsi="Arial"/>
          <w:color w:val="000000"/>
          <w:sz w:val="20"/>
          <w:szCs w:val="20"/>
        </w:rPr>
        <w:t xml:space="preserve">Discovery method determines the blind spot. Passive network analysis cannot see data at rest. Static code analysis cannot see runtime configuration. Agents cannot see appliances that reject agents. Declarative discovery cannot see what the estate owner does not already know, which is the reason you are buying the tool. A credible vendor states this before being asked.</w:t>
      </w:r>
    </w:p>
    <w:p>
      <w:pPr>
        <w:spacing w:after="60" w:before="100"/>
      </w:pPr>
    </w:p>
    <w:tbl>
      <w:tblPr>
        <w:tblW w:type="dxa" w:w="9360"/>
        <w:tblBorders>
          <w:top w:val="single" w:color="BFBFBF" w:sz="2"/>
          <w:left w:val="single" w:color="BFBFBF" w:sz="2"/>
          <w:bottom w:val="single" w:color="BFBFBF" w:sz="2"/>
          <w:right w:val="single" w:color="BFBFBF" w:sz="2"/>
          <w:insideH w:val="single" w:color="BFBFBF" w:sz="2"/>
          <w:insideV w:val="single" w:color="BFBFBF" w:sz="2"/>
        </w:tblBorders>
      </w:tblPr>
      <w:tblGrid>
        <w:gridCol w:w="700"/>
        <w:gridCol w:w="5460"/>
        <w:gridCol w:w="3200"/>
      </w:tblGrid>
      <w:tr>
        <w:trPr>
          <w:tblHeader/>
        </w:trPr>
        <w:tc>
          <w:tcPr>
            <w:tcW w:type="dxa" w:w="700"/>
            <w:shd w:fill="4035A8" w:color="auto" w:val="clear"/>
            <w:tcMar>
              <w:top w:type="dxa" w:w="90"/>
              <w:left w:type="dxa" w:w="120"/>
              <w:bottom w:type="dxa" w:w="90"/>
              <w:right w:type="dxa" w:w="120"/>
            </w:tcMar>
            <w:vAlign w:val="top"/>
          </w:tcPr>
          <w:p>
            <w:pPr>
              <w:spacing w:after="20" w:before="20" w:line="252"/>
            </w:pPr>
            <w:r>
              <w:rPr>
                <w:rFonts w:ascii="Arial" w:cs="Arial" w:eastAsia="Arial" w:hAnsi="Arial"/>
                <w:b/>
                <w:bCs/>
                <w:color w:val="FFFFFF"/>
                <w:sz w:val="19"/>
                <w:szCs w:val="19"/>
              </w:rPr>
              <w:t xml:space="preserve">#</w:t>
            </w:r>
          </w:p>
        </w:tc>
        <w:tc>
          <w:tcPr>
            <w:tcW w:type="dxa" w:w="5460"/>
            <w:shd w:fill="4035A8" w:color="auto" w:val="clear"/>
            <w:tcMar>
              <w:top w:type="dxa" w:w="90"/>
              <w:left w:type="dxa" w:w="120"/>
              <w:bottom w:type="dxa" w:w="90"/>
              <w:right w:type="dxa" w:w="120"/>
            </w:tcMar>
            <w:vAlign w:val="top"/>
          </w:tcPr>
          <w:p>
            <w:pPr>
              <w:spacing w:after="20" w:before="20" w:line="252"/>
            </w:pPr>
            <w:r>
              <w:rPr>
                <w:rFonts w:ascii="Arial" w:cs="Arial" w:eastAsia="Arial" w:hAnsi="Arial"/>
                <w:b/>
                <w:bCs/>
                <w:color w:val="FFFFFF"/>
                <w:sz w:val="19"/>
                <w:szCs w:val="19"/>
              </w:rPr>
              <w:t xml:space="preserve">Question</w:t>
            </w:r>
          </w:p>
        </w:tc>
        <w:tc>
          <w:tcPr>
            <w:tcW w:type="dxa" w:w="3200"/>
            <w:shd w:fill="4035A8" w:color="auto" w:val="clear"/>
            <w:tcMar>
              <w:top w:type="dxa" w:w="90"/>
              <w:left w:type="dxa" w:w="120"/>
              <w:bottom w:type="dxa" w:w="90"/>
              <w:right w:type="dxa" w:w="120"/>
            </w:tcMar>
            <w:vAlign w:val="top"/>
          </w:tcPr>
          <w:p>
            <w:pPr>
              <w:spacing w:after="20" w:before="20" w:line="252"/>
            </w:pPr>
            <w:r>
              <w:rPr>
                <w:rFonts w:ascii="Arial" w:cs="Arial" w:eastAsia="Arial" w:hAnsi="Arial"/>
                <w:b/>
                <w:bCs/>
                <w:color w:val="FFFFFF"/>
                <w:sz w:val="19"/>
                <w:szCs w:val="19"/>
              </w:rPr>
              <w:t xml:space="preserve">Response format required</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8.1</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Which discovery methods does the product use: passive network, static code, binary analysis, host agent, API integration, declarative?</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List</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8.2</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Provide your published coverage statement, including explicit exclusions: what the product structurally cannot see.</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Document</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8.3</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What is the false positive and false negative profile, and how was it measured?</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Figures and methodology</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8.4</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For each discovered asset, which attributes are captured: algorithm, parameter set, key length, protocol, certificate details, expiry?</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Attribute list, plus sample output</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8.5</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Does discovery map cryptographic assets to owning systems, business services and data classifications?</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Yes or no, plus mechanism</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8.6</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How does the product distinguish a quantum-vulnerable algorithm in active use from one merely present but unused?</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Method</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8.7</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How is cryptography inside third-party binaries, firmware and hardware roots of trust handled?</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Narrative</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8.8</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How is the inventory maintained after the first scan? What is the re-scan cost in time and production impact?</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Cadence, cost, impact</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8.9</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How does the product prioritise findings, and against what risk model?</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Method, plus whether it is configurable</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8.10</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Will you run discovery against a scoped segment for which we hold a hand-built ground truth, and accept scoring on what you found, missed and invented?</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Yes or no</w:t>
            </w:r>
          </w:p>
        </w:tc>
      </w:tr>
    </w:tbl>
    <w:p>
      <w:pPr>
        <w:spacing w:before="200"/>
      </w:pPr>
    </w:p>
    <w:tbl>
      <w:tblPr>
        <w:tblW w:type="dxa" w:w="9360"/>
        <w:tblBorders>
          <w:top w:val="none" w:color="FFFFFF" w:sz="0"/>
          <w:left w:val="single" w:color="4035A8" w:sz="18"/>
          <w:bottom w:val="none" w:color="FFFFFF" w:sz="0"/>
          <w:right w:val="none" w:color="FFFFFF" w:sz="0"/>
          <w:insideH w:val="none" w:color="FFFFFF" w:sz="0"/>
          <w:insideV w:val="none" w:color="FFFFFF" w:sz="0"/>
        </w:tblBorders>
      </w:tblPr>
      <w:tblGrid>
        <w:gridCol w:w="9360"/>
      </w:tblGrid>
      <w:tr>
        <w:tc>
          <w:tcPr>
            <w:tcW w:type="dxa" w:w="9360"/>
            <w:shd w:fill="DCD1FB" w:color="auto" w:val="clear"/>
            <w:tcMar>
              <w:top w:type="dxa" w:w="90"/>
              <w:left w:type="dxa" w:w="120"/>
              <w:bottom w:type="dxa" w:w="90"/>
              <w:right w:type="dxa" w:w="120"/>
            </w:tcMar>
            <w:vAlign w:val="top"/>
          </w:tcPr>
          <w:p>
            <w:pPr>
              <w:spacing w:after="20" w:before="20" w:line="252"/>
            </w:pPr>
            <w:r>
              <w:rPr>
                <w:rFonts w:ascii="Arial" w:cs="Arial" w:eastAsia="Arial" w:hAnsi="Arial"/>
                <w:b/>
                <w:bCs/>
                <w:color w:val="1A1440"/>
                <w:sz w:val="19"/>
                <w:szCs w:val="19"/>
              </w:rPr>
              <w:t xml:space="preserve">A strong answer</w:t>
            </w:r>
          </w:p>
          <w:p>
            <w:pPr>
              <w:spacing w:after="20" w:before="20" w:line="252"/>
            </w:pPr>
            <w:r>
              <w:rPr>
                <w:rFonts w:ascii="Arial" w:cs="Arial" w:eastAsia="Arial" w:hAnsi="Arial"/>
                <w:color w:val="000000"/>
                <w:sz w:val="19"/>
                <w:szCs w:val="19"/>
              </w:rPr>
              <w:t xml:space="preserve">Publishes a coverage statement with explicit exclusions before being asked. Accepts the ground truth test in 8.10 without conditions. Distinguishes asset detection from cryptography detection.</w:t>
            </w:r>
          </w:p>
        </w:tc>
      </w:tr>
    </w:tbl>
    <w:p>
      <w:pPr>
        <w:spacing w:before="140"/>
      </w:pPr>
    </w:p>
    <w:tbl>
      <w:tblPr>
        <w:tblW w:type="dxa" w:w="9360"/>
        <w:tblBorders>
          <w:top w:val="none" w:color="FFFFFF" w:sz="0"/>
          <w:left w:val="single" w:color="CC2B1F" w:sz="18"/>
          <w:bottom w:val="none" w:color="FFFFFF" w:sz="0"/>
          <w:right w:val="none" w:color="FFFFFF" w:sz="0"/>
          <w:insideH w:val="none" w:color="FFFFFF" w:sz="0"/>
          <w:insideV w:val="none" w:color="FFFFFF" w:sz="0"/>
        </w:tblBorders>
      </w:tblPr>
      <w:tblGrid>
        <w:gridCol w:w="9360"/>
      </w:tblGrid>
      <w:tr>
        <w:tc>
          <w:tcPr>
            <w:tcW w:type="dxa" w:w="9360"/>
            <w:shd w:fill="FBE9E7" w:color="auto" w:val="clear"/>
            <w:tcMar>
              <w:top w:type="dxa" w:w="90"/>
              <w:left w:type="dxa" w:w="120"/>
              <w:bottom w:type="dxa" w:w="90"/>
              <w:right w:type="dxa" w:w="120"/>
            </w:tcMar>
            <w:vAlign w:val="top"/>
          </w:tcPr>
          <w:p>
            <w:pPr>
              <w:spacing w:after="20" w:before="20" w:line="252"/>
            </w:pPr>
            <w:r>
              <w:rPr>
                <w:rFonts w:ascii="Arial" w:cs="Arial" w:eastAsia="Arial" w:hAnsi="Arial"/>
                <w:b/>
                <w:bCs/>
                <w:color w:val="1A1440"/>
                <w:sz w:val="19"/>
                <w:szCs w:val="19"/>
              </w:rPr>
              <w:t xml:space="preserve">Disqualifying answers</w:t>
            </w:r>
          </w:p>
          <w:p>
            <w:pPr>
              <w:spacing w:after="20" w:before="20" w:line="252"/>
            </w:pPr>
            <w:r>
              <w:rPr>
                <w:rFonts w:ascii="Arial" w:cs="Arial" w:eastAsia="Arial" w:hAnsi="Arial"/>
                <w:color w:val="000000"/>
                <w:sz w:val="19"/>
                <w:szCs w:val="19"/>
              </w:rPr>
              <w:t xml:space="preserve">Refusing to supply a coverage statement.</w:t>
            </w:r>
          </w:p>
          <w:p>
            <w:pPr>
              <w:spacing w:after="20" w:before="20" w:line="252"/>
            </w:pPr>
            <w:r>
              <w:rPr>
                <w:rFonts w:ascii="Arial" w:cs="Arial" w:eastAsia="Arial" w:hAnsi="Arial"/>
                <w:color w:val="000000"/>
                <w:sz w:val="19"/>
                <w:szCs w:val="19"/>
              </w:rPr>
              <w:t xml:space="preserve">Claiming complete coverage. No single method achieves it.</w:t>
            </w:r>
          </w:p>
          <w:p>
            <w:pPr>
              <w:spacing w:after="20" w:before="20" w:line="252"/>
            </w:pPr>
            <w:r>
              <w:rPr>
                <w:rFonts w:ascii="Arial" w:cs="Arial" w:eastAsia="Arial" w:hAnsi="Arial"/>
                <w:color w:val="000000"/>
                <w:sz w:val="19"/>
                <w:szCs w:val="19"/>
              </w:rPr>
              <w:t xml:space="preserve">Refusing the ground truth test.</w:t>
            </w:r>
          </w:p>
          <w:p>
            <w:pPr>
              <w:spacing w:after="20" w:before="20" w:line="252"/>
            </w:pPr>
            <w:r>
              <w:rPr>
                <w:rFonts w:ascii="Arial" w:cs="Arial" w:eastAsia="Arial" w:hAnsi="Arial"/>
                <w:color w:val="000000"/>
                <w:sz w:val="19"/>
                <w:szCs w:val="19"/>
              </w:rPr>
              <w:t xml:space="preserve">A declarative or questionnaire-based method presented as discovery.</w:t>
            </w:r>
          </w:p>
        </w:tc>
      </w:tr>
    </w:tbl>
    <w:p>
      <w:r>
        <w:br w:type="page"/>
      </w:r>
    </w:p>
    <w:p>
      <w:pPr>
        <w:pStyle w:val="Heading1"/>
        <w:pBdr>
          <w:bottom w:val="single" w:color="4035A8" w:sz="8" w:space="6"/>
        </w:pBdr>
        <w:spacing w:after="160" w:before="360"/>
      </w:pPr>
      <w:r>
        <w:rPr>
          <w:rFonts w:ascii="Arial" w:cs="Arial" w:eastAsia="Arial" w:hAnsi="Arial"/>
          <w:b/>
          <w:bCs/>
          <w:color w:val="4035A8"/>
          <w:sz w:val="30"/>
          <w:szCs w:val="30"/>
        </w:rPr>
        <w:t xml:space="preserve">Section 9  |  Machine-readable evidence and CBOM (C2)</w:t>
      </w:r>
    </w:p>
    <w:p>
      <w:pPr>
        <w:spacing w:after="120" w:before="60" w:line="264"/>
      </w:pPr>
      <w:r>
        <w:rPr>
          <w:rFonts w:ascii="Arial" w:cs="Arial" w:eastAsia="Arial" w:hAnsi="Arial"/>
          <w:color w:val="000000"/>
          <w:sz w:val="20"/>
          <w:szCs w:val="20"/>
        </w:rPr>
        <w:t xml:space="preserve">A Cryptographic Bill of Materials is not a separate format. It is a CycloneDX bill of materials whose components carry cryptographic properties. CycloneDX 1.6 was ratified as ECMA-424; 1.7, released October 2025, added algorithm-family and elliptic-curve registries specifically for quantum readiness assessment. Executive Order 14412 directs CISA and NIST to publish CBOM minimum-element guidance by approximately March 2027, but does not itself require CBOM production.</w:t>
      </w:r>
    </w:p>
    <w:p>
      <w:pPr>
        <w:spacing w:after="60" w:before="100"/>
      </w:pPr>
    </w:p>
    <w:tbl>
      <w:tblPr>
        <w:tblW w:type="dxa" w:w="9360"/>
        <w:tblBorders>
          <w:top w:val="single" w:color="BFBFBF" w:sz="2"/>
          <w:left w:val="single" w:color="BFBFBF" w:sz="2"/>
          <w:bottom w:val="single" w:color="BFBFBF" w:sz="2"/>
          <w:right w:val="single" w:color="BFBFBF" w:sz="2"/>
          <w:insideH w:val="single" w:color="BFBFBF" w:sz="2"/>
          <w:insideV w:val="single" w:color="BFBFBF" w:sz="2"/>
        </w:tblBorders>
      </w:tblPr>
      <w:tblGrid>
        <w:gridCol w:w="700"/>
        <w:gridCol w:w="5460"/>
        <w:gridCol w:w="3200"/>
      </w:tblGrid>
      <w:tr>
        <w:trPr>
          <w:tblHeader/>
        </w:trPr>
        <w:tc>
          <w:tcPr>
            <w:tcW w:type="dxa" w:w="700"/>
            <w:shd w:fill="4035A8" w:color="auto" w:val="clear"/>
            <w:tcMar>
              <w:top w:type="dxa" w:w="90"/>
              <w:left w:type="dxa" w:w="120"/>
              <w:bottom w:type="dxa" w:w="90"/>
              <w:right w:type="dxa" w:w="120"/>
            </w:tcMar>
            <w:vAlign w:val="top"/>
          </w:tcPr>
          <w:p>
            <w:pPr>
              <w:spacing w:after="20" w:before="20" w:line="252"/>
            </w:pPr>
            <w:r>
              <w:rPr>
                <w:rFonts w:ascii="Arial" w:cs="Arial" w:eastAsia="Arial" w:hAnsi="Arial"/>
                <w:b/>
                <w:bCs/>
                <w:color w:val="FFFFFF"/>
                <w:sz w:val="19"/>
                <w:szCs w:val="19"/>
              </w:rPr>
              <w:t xml:space="preserve">#</w:t>
            </w:r>
          </w:p>
        </w:tc>
        <w:tc>
          <w:tcPr>
            <w:tcW w:type="dxa" w:w="5460"/>
            <w:shd w:fill="4035A8" w:color="auto" w:val="clear"/>
            <w:tcMar>
              <w:top w:type="dxa" w:w="90"/>
              <w:left w:type="dxa" w:w="120"/>
              <w:bottom w:type="dxa" w:w="90"/>
              <w:right w:type="dxa" w:w="120"/>
            </w:tcMar>
            <w:vAlign w:val="top"/>
          </w:tcPr>
          <w:p>
            <w:pPr>
              <w:spacing w:after="20" w:before="20" w:line="252"/>
            </w:pPr>
            <w:r>
              <w:rPr>
                <w:rFonts w:ascii="Arial" w:cs="Arial" w:eastAsia="Arial" w:hAnsi="Arial"/>
                <w:b/>
                <w:bCs/>
                <w:color w:val="FFFFFF"/>
                <w:sz w:val="19"/>
                <w:szCs w:val="19"/>
              </w:rPr>
              <w:t xml:space="preserve">Question</w:t>
            </w:r>
          </w:p>
        </w:tc>
        <w:tc>
          <w:tcPr>
            <w:tcW w:type="dxa" w:w="3200"/>
            <w:shd w:fill="4035A8" w:color="auto" w:val="clear"/>
            <w:tcMar>
              <w:top w:type="dxa" w:w="90"/>
              <w:left w:type="dxa" w:w="120"/>
              <w:bottom w:type="dxa" w:w="90"/>
              <w:right w:type="dxa" w:w="120"/>
            </w:tcMar>
            <w:vAlign w:val="top"/>
          </w:tcPr>
          <w:p>
            <w:pPr>
              <w:spacing w:after="20" w:before="20" w:line="252"/>
            </w:pPr>
            <w:r>
              <w:rPr>
                <w:rFonts w:ascii="Arial" w:cs="Arial" w:eastAsia="Arial" w:hAnsi="Arial"/>
                <w:b/>
                <w:bCs/>
                <w:color w:val="FFFFFF"/>
                <w:sz w:val="19"/>
                <w:szCs w:val="19"/>
              </w:rPr>
              <w:t xml:space="preserve">Response format required</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9.1</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What CycloneDX version does the product emit, and can you supply a sample CBOM from a real environment? State whether 1.7 is supported.</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Version, plus sample file</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9.2</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Which cryptoProperties fields are populated? Address primitive, parameterSetIdentifier, oid, nistQuantumSecurityLevel, classicalSecurityLevel, implementationPlatform, executionEnvironment, certificationLevel and cryptoFunctions individually.</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Field-by-field yes or no</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9.3</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Are dependency links populated from cryptographic assets to the software components that use them?</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Yes or no, plus sample</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9.4</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Does the CBOM carry generation metadata: method, tool, coverage and what could not be covered?</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Yes or no, plus sample</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9.5</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Is the CBOM signed or attested? By what mechanism?</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Mechanism</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9.6</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Will you supply a current CBOM for your own product on each release and on request?</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Yes or no</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9.7</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What other machine-readable outputs are available, and via what API?</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API documentation</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9.8</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Can we export all our data in open formats at any time, including full inventory history?</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Yes or no, plus format</w:t>
            </w:r>
          </w:p>
        </w:tc>
      </w:tr>
    </w:tbl>
    <w:p>
      <w:pPr>
        <w:spacing w:before="200"/>
      </w:pPr>
    </w:p>
    <w:tbl>
      <w:tblPr>
        <w:tblW w:type="dxa" w:w="9360"/>
        <w:tblBorders>
          <w:top w:val="none" w:color="FFFFFF" w:sz="0"/>
          <w:left w:val="single" w:color="4035A8" w:sz="18"/>
          <w:bottom w:val="none" w:color="FFFFFF" w:sz="0"/>
          <w:right w:val="none" w:color="FFFFFF" w:sz="0"/>
          <w:insideH w:val="none" w:color="FFFFFF" w:sz="0"/>
          <w:insideV w:val="none" w:color="FFFFFF" w:sz="0"/>
        </w:tblBorders>
      </w:tblPr>
      <w:tblGrid>
        <w:gridCol w:w="9360"/>
      </w:tblGrid>
      <w:tr>
        <w:tc>
          <w:tcPr>
            <w:tcW w:type="dxa" w:w="9360"/>
            <w:shd w:fill="DCD1FB" w:color="auto" w:val="clear"/>
            <w:tcMar>
              <w:top w:type="dxa" w:w="90"/>
              <w:left w:type="dxa" w:w="120"/>
              <w:bottom w:type="dxa" w:w="90"/>
              <w:right w:type="dxa" w:w="120"/>
            </w:tcMar>
            <w:vAlign w:val="top"/>
          </w:tcPr>
          <w:p>
            <w:pPr>
              <w:spacing w:after="20" w:before="20" w:line="252"/>
            </w:pPr>
            <w:r>
              <w:rPr>
                <w:rFonts w:ascii="Arial" w:cs="Arial" w:eastAsia="Arial" w:hAnsi="Arial"/>
                <w:b/>
                <w:bCs/>
                <w:color w:val="1A1440"/>
                <w:sz w:val="19"/>
                <w:szCs w:val="19"/>
              </w:rPr>
              <w:t xml:space="preserve">A strong answer</w:t>
            </w:r>
          </w:p>
          <w:p>
            <w:pPr>
              <w:spacing w:after="20" w:before="20" w:line="252"/>
            </w:pPr>
            <w:r>
              <w:rPr>
                <w:rFonts w:ascii="Arial" w:cs="Arial" w:eastAsia="Arial" w:hAnsi="Arial"/>
                <w:color w:val="000000"/>
                <w:sz w:val="19"/>
                <w:szCs w:val="19"/>
              </w:rPr>
              <w:t xml:space="preserve">Supplies a real sample CBOM without hesitation. Populates parameter set identifiers and OIDs rather than generic algorithm names. Agrees to 9.6, which very few vendors volunteer.</w:t>
            </w:r>
          </w:p>
        </w:tc>
      </w:tr>
    </w:tbl>
    <w:p>
      <w:pPr>
        <w:spacing w:before="140"/>
      </w:pPr>
    </w:p>
    <w:tbl>
      <w:tblPr>
        <w:tblW w:type="dxa" w:w="9360"/>
        <w:tblBorders>
          <w:top w:val="none" w:color="FFFFFF" w:sz="0"/>
          <w:left w:val="single" w:color="CC2B1F" w:sz="18"/>
          <w:bottom w:val="none" w:color="FFFFFF" w:sz="0"/>
          <w:right w:val="none" w:color="FFFFFF" w:sz="0"/>
          <w:insideH w:val="none" w:color="FFFFFF" w:sz="0"/>
          <w:insideV w:val="none" w:color="FFFFFF" w:sz="0"/>
        </w:tblBorders>
      </w:tblPr>
      <w:tblGrid>
        <w:gridCol w:w="9360"/>
      </w:tblGrid>
      <w:tr>
        <w:tc>
          <w:tcPr>
            <w:tcW w:type="dxa" w:w="9360"/>
            <w:shd w:fill="FBE9E7" w:color="auto" w:val="clear"/>
            <w:tcMar>
              <w:top w:type="dxa" w:w="90"/>
              <w:left w:type="dxa" w:w="120"/>
              <w:bottom w:type="dxa" w:w="90"/>
              <w:right w:type="dxa" w:w="120"/>
            </w:tcMar>
            <w:vAlign w:val="top"/>
          </w:tcPr>
          <w:p>
            <w:pPr>
              <w:spacing w:after="20" w:before="20" w:line="252"/>
            </w:pPr>
            <w:r>
              <w:rPr>
                <w:rFonts w:ascii="Arial" w:cs="Arial" w:eastAsia="Arial" w:hAnsi="Arial"/>
                <w:b/>
                <w:bCs/>
                <w:color w:val="1A1440"/>
                <w:sz w:val="19"/>
                <w:szCs w:val="19"/>
              </w:rPr>
              <w:t xml:space="preserve">Disqualifying answers</w:t>
            </w:r>
          </w:p>
          <w:p>
            <w:pPr>
              <w:spacing w:after="20" w:before="20" w:line="252"/>
            </w:pPr>
            <w:r>
              <w:rPr>
                <w:rFonts w:ascii="Arial" w:cs="Arial" w:eastAsia="Arial" w:hAnsi="Arial"/>
                <w:color w:val="000000"/>
                <w:sz w:val="19"/>
                <w:szCs w:val="19"/>
              </w:rPr>
              <w:t xml:space="preserve">PDF reports offered in place of machine-readable output.</w:t>
            </w:r>
          </w:p>
          <w:p>
            <w:pPr>
              <w:spacing w:after="20" w:before="20" w:line="252"/>
            </w:pPr>
            <w:r>
              <w:rPr>
                <w:rFonts w:ascii="Arial" w:cs="Arial" w:eastAsia="Arial" w:hAnsi="Arial"/>
                <w:color w:val="000000"/>
                <w:sz w:val="19"/>
                <w:szCs w:val="19"/>
              </w:rPr>
              <w:t xml:space="preserve">A hand-authored declarative CBOM presented as discovery output.</w:t>
            </w:r>
          </w:p>
          <w:p>
            <w:pPr>
              <w:spacing w:after="20" w:before="20" w:line="252"/>
            </w:pPr>
            <w:r>
              <w:rPr>
                <w:rFonts w:ascii="Arial" w:cs="Arial" w:eastAsia="Arial" w:hAnsi="Arial"/>
                <w:color w:val="000000"/>
                <w:sz w:val="19"/>
                <w:szCs w:val="19"/>
              </w:rPr>
              <w:t xml:space="preserve">A CBOM naming algorithms without parameter sets.</w:t>
            </w:r>
          </w:p>
          <w:p>
            <w:pPr>
              <w:spacing w:after="20" w:before="20" w:line="252"/>
            </w:pPr>
            <w:r>
              <w:rPr>
                <w:rFonts w:ascii="Arial" w:cs="Arial" w:eastAsia="Arial" w:hAnsi="Arial"/>
                <w:color w:val="000000"/>
                <w:sz w:val="19"/>
                <w:szCs w:val="19"/>
              </w:rPr>
              <w:t xml:space="preserve">Refusing to supply a CBOM for the vendor's own product.</w:t>
            </w:r>
          </w:p>
        </w:tc>
      </w:tr>
    </w:tbl>
    <w:p>
      <w:r>
        <w:br w:type="page"/>
      </w:r>
    </w:p>
    <w:p>
      <w:pPr>
        <w:pStyle w:val="Heading1"/>
        <w:pBdr>
          <w:bottom w:val="single" w:color="4035A8" w:sz="8" w:space="6"/>
        </w:pBdr>
        <w:spacing w:after="160" w:before="360"/>
      </w:pPr>
      <w:r>
        <w:rPr>
          <w:rFonts w:ascii="Arial" w:cs="Arial" w:eastAsia="Arial" w:hAnsi="Arial"/>
          <w:b/>
          <w:bCs/>
          <w:color w:val="4035A8"/>
          <w:sz w:val="30"/>
          <w:szCs w:val="30"/>
        </w:rPr>
        <w:t xml:space="preserve">Section 10  |  Compliance mapping and audit evidence (C3)</w:t>
      </w:r>
    </w:p>
    <w:p>
      <w:pPr>
        <w:spacing w:after="120" w:before="60" w:line="264"/>
      </w:pPr>
      <w:r>
        <w:rPr>
          <w:rFonts w:ascii="Arial" w:cs="Arial" w:eastAsia="Arial" w:hAnsi="Arial"/>
          <w:color w:val="000000"/>
          <w:sz w:val="20"/>
          <w:szCs w:val="20"/>
        </w:rPr>
        <w:t xml:space="preserve">Whether the product reduces your reporting burden or adds to it. Treat a long list of framework logos with scepticism, and judge the whole by one mapping you know well.</w:t>
      </w:r>
    </w:p>
    <w:p>
      <w:pPr>
        <w:spacing w:after="60" w:before="100"/>
      </w:pPr>
    </w:p>
    <w:tbl>
      <w:tblPr>
        <w:tblW w:type="dxa" w:w="9360"/>
        <w:tblBorders>
          <w:top w:val="single" w:color="BFBFBF" w:sz="2"/>
          <w:left w:val="single" w:color="BFBFBF" w:sz="2"/>
          <w:bottom w:val="single" w:color="BFBFBF" w:sz="2"/>
          <w:right w:val="single" w:color="BFBFBF" w:sz="2"/>
          <w:insideH w:val="single" w:color="BFBFBF" w:sz="2"/>
          <w:insideV w:val="single" w:color="BFBFBF" w:sz="2"/>
        </w:tblBorders>
      </w:tblPr>
      <w:tblGrid>
        <w:gridCol w:w="700"/>
        <w:gridCol w:w="5460"/>
        <w:gridCol w:w="3200"/>
      </w:tblGrid>
      <w:tr>
        <w:trPr>
          <w:tblHeader/>
        </w:trPr>
        <w:tc>
          <w:tcPr>
            <w:tcW w:type="dxa" w:w="700"/>
            <w:shd w:fill="4035A8" w:color="auto" w:val="clear"/>
            <w:tcMar>
              <w:top w:type="dxa" w:w="90"/>
              <w:left w:type="dxa" w:w="120"/>
              <w:bottom w:type="dxa" w:w="90"/>
              <w:right w:type="dxa" w:w="120"/>
            </w:tcMar>
            <w:vAlign w:val="top"/>
          </w:tcPr>
          <w:p>
            <w:pPr>
              <w:spacing w:after="20" w:before="20" w:line="252"/>
            </w:pPr>
            <w:r>
              <w:rPr>
                <w:rFonts w:ascii="Arial" w:cs="Arial" w:eastAsia="Arial" w:hAnsi="Arial"/>
                <w:b/>
                <w:bCs/>
                <w:color w:val="FFFFFF"/>
                <w:sz w:val="19"/>
                <w:szCs w:val="19"/>
              </w:rPr>
              <w:t xml:space="preserve">#</w:t>
            </w:r>
          </w:p>
        </w:tc>
        <w:tc>
          <w:tcPr>
            <w:tcW w:type="dxa" w:w="5460"/>
            <w:shd w:fill="4035A8" w:color="auto" w:val="clear"/>
            <w:tcMar>
              <w:top w:type="dxa" w:w="90"/>
              <w:left w:type="dxa" w:w="120"/>
              <w:bottom w:type="dxa" w:w="90"/>
              <w:right w:type="dxa" w:w="120"/>
            </w:tcMar>
            <w:vAlign w:val="top"/>
          </w:tcPr>
          <w:p>
            <w:pPr>
              <w:spacing w:after="20" w:before="20" w:line="252"/>
            </w:pPr>
            <w:r>
              <w:rPr>
                <w:rFonts w:ascii="Arial" w:cs="Arial" w:eastAsia="Arial" w:hAnsi="Arial"/>
                <w:b/>
                <w:bCs/>
                <w:color w:val="FFFFFF"/>
                <w:sz w:val="19"/>
                <w:szCs w:val="19"/>
              </w:rPr>
              <w:t xml:space="preserve">Question</w:t>
            </w:r>
          </w:p>
        </w:tc>
        <w:tc>
          <w:tcPr>
            <w:tcW w:type="dxa" w:w="3200"/>
            <w:shd w:fill="4035A8" w:color="auto" w:val="clear"/>
            <w:tcMar>
              <w:top w:type="dxa" w:w="90"/>
              <w:left w:type="dxa" w:w="120"/>
              <w:bottom w:type="dxa" w:w="90"/>
              <w:right w:type="dxa" w:w="120"/>
            </w:tcMar>
            <w:vAlign w:val="top"/>
          </w:tcPr>
          <w:p>
            <w:pPr>
              <w:spacing w:after="20" w:before="20" w:line="252"/>
            </w:pPr>
            <w:r>
              <w:rPr>
                <w:rFonts w:ascii="Arial" w:cs="Arial" w:eastAsia="Arial" w:hAnsi="Arial"/>
                <w:b/>
                <w:bCs/>
                <w:color w:val="FFFFFF"/>
                <w:sz w:val="19"/>
                <w:szCs w:val="19"/>
              </w:rPr>
              <w:t xml:space="preserve">Response format required</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10.1</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Which control frameworks does the product map findings to? Provide the mapping at control identifier level, not framework name level.</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Mapping export</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10.2</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Show us the mapping for [insert one control you know well].</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The specific mapping</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10.3</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Can we add or amend mappings ourselves, or does that require vendor development?</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Yes or no</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10.4</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How are mappings maintained as frameworks change, and at what cadence?</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Process and cadence</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10.5</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What evidence formats does the product produce for audit: timestamped, attributable, tamper-evident, exportable?</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Sample evidence pack</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10.6</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Is every action taken through the product auditable, including vendor and administrator actions?</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Yes or no, plus sample log</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10.7</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Can the product evidence our specific regulatory obligations: [insert, for example, a maintained cryptographic inventory, a documented transition plan, dated migration milestones]?</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Mapped, per obligation</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10.8</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Have your evidence outputs previously been accepted by auditors or regulators? Provide references.</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References</w:t>
            </w:r>
          </w:p>
        </w:tc>
      </w:tr>
    </w:tbl>
    <w:p>
      <w:pPr>
        <w:spacing w:before="200"/>
      </w:pPr>
    </w:p>
    <w:tbl>
      <w:tblPr>
        <w:tblW w:type="dxa" w:w="9360"/>
        <w:tblBorders>
          <w:top w:val="none" w:color="FFFFFF" w:sz="0"/>
          <w:left w:val="single" w:color="4035A8" w:sz="18"/>
          <w:bottom w:val="none" w:color="FFFFFF" w:sz="0"/>
          <w:right w:val="none" w:color="FFFFFF" w:sz="0"/>
          <w:insideH w:val="none" w:color="FFFFFF" w:sz="0"/>
          <w:insideV w:val="none" w:color="FFFFFF" w:sz="0"/>
        </w:tblBorders>
      </w:tblPr>
      <w:tblGrid>
        <w:gridCol w:w="9360"/>
      </w:tblGrid>
      <w:tr>
        <w:tc>
          <w:tcPr>
            <w:tcW w:type="dxa" w:w="9360"/>
            <w:shd w:fill="DCD1FB" w:color="auto" w:val="clear"/>
            <w:tcMar>
              <w:top w:type="dxa" w:w="90"/>
              <w:left w:type="dxa" w:w="120"/>
              <w:bottom w:type="dxa" w:w="90"/>
              <w:right w:type="dxa" w:w="120"/>
            </w:tcMar>
            <w:vAlign w:val="top"/>
          </w:tcPr>
          <w:p>
            <w:pPr>
              <w:spacing w:after="20" w:before="20" w:line="252"/>
            </w:pPr>
            <w:r>
              <w:rPr>
                <w:rFonts w:ascii="Arial" w:cs="Arial" w:eastAsia="Arial" w:hAnsi="Arial"/>
                <w:b/>
                <w:bCs/>
                <w:color w:val="1A1440"/>
                <w:sz w:val="19"/>
                <w:szCs w:val="19"/>
              </w:rPr>
              <w:t xml:space="preserve">A strong answer</w:t>
            </w:r>
          </w:p>
          <w:p>
            <w:pPr>
              <w:spacing w:after="20" w:before="20" w:line="252"/>
            </w:pPr>
            <w:r>
              <w:rPr>
                <w:rFonts w:ascii="Arial" w:cs="Arial" w:eastAsia="Arial" w:hAnsi="Arial"/>
                <w:color w:val="000000"/>
                <w:sz w:val="19"/>
                <w:szCs w:val="19"/>
              </w:rPr>
              <w:t xml:space="preserve">Control-identifier level mapping. Customer-extensible mappings. References who have used the evidence in a real audit.</w:t>
            </w:r>
          </w:p>
        </w:tc>
      </w:tr>
    </w:tbl>
    <w:p>
      <w:pPr>
        <w:spacing w:before="140"/>
      </w:pPr>
    </w:p>
    <w:tbl>
      <w:tblPr>
        <w:tblW w:type="dxa" w:w="9360"/>
        <w:tblBorders>
          <w:top w:val="none" w:color="FFFFFF" w:sz="0"/>
          <w:left w:val="single" w:color="CC2B1F" w:sz="18"/>
          <w:bottom w:val="none" w:color="FFFFFF" w:sz="0"/>
          <w:right w:val="none" w:color="FFFFFF" w:sz="0"/>
          <w:insideH w:val="none" w:color="FFFFFF" w:sz="0"/>
          <w:insideV w:val="none" w:color="FFFFFF" w:sz="0"/>
        </w:tblBorders>
      </w:tblPr>
      <w:tblGrid>
        <w:gridCol w:w="9360"/>
      </w:tblGrid>
      <w:tr>
        <w:tc>
          <w:tcPr>
            <w:tcW w:type="dxa" w:w="9360"/>
            <w:shd w:fill="FBE9E7" w:color="auto" w:val="clear"/>
            <w:tcMar>
              <w:top w:type="dxa" w:w="90"/>
              <w:left w:type="dxa" w:w="120"/>
              <w:bottom w:type="dxa" w:w="90"/>
              <w:right w:type="dxa" w:w="120"/>
            </w:tcMar>
            <w:vAlign w:val="top"/>
          </w:tcPr>
          <w:p>
            <w:pPr>
              <w:spacing w:after="20" w:before="20" w:line="252"/>
            </w:pPr>
            <w:r>
              <w:rPr>
                <w:rFonts w:ascii="Arial" w:cs="Arial" w:eastAsia="Arial" w:hAnsi="Arial"/>
                <w:b/>
                <w:bCs/>
                <w:color w:val="1A1440"/>
                <w:sz w:val="19"/>
                <w:szCs w:val="19"/>
              </w:rPr>
              <w:t xml:space="preserve">Disqualifying answers</w:t>
            </w:r>
          </w:p>
          <w:p>
            <w:pPr>
              <w:spacing w:after="20" w:before="20" w:line="252"/>
            </w:pPr>
            <w:r>
              <w:rPr>
                <w:rFonts w:ascii="Arial" w:cs="Arial" w:eastAsia="Arial" w:hAnsi="Arial"/>
                <w:color w:val="000000"/>
                <w:sz w:val="19"/>
                <w:szCs w:val="19"/>
              </w:rPr>
              <w:t xml:space="preserve">Framework logos with no control-level mapping behind them.</w:t>
            </w:r>
          </w:p>
          <w:p>
            <w:pPr>
              <w:spacing w:after="20" w:before="20" w:line="252"/>
            </w:pPr>
            <w:r>
              <w:rPr>
                <w:rFonts w:ascii="Arial" w:cs="Arial" w:eastAsia="Arial" w:hAnsi="Arial"/>
                <w:color w:val="000000"/>
                <w:sz w:val="19"/>
                <w:szCs w:val="19"/>
              </w:rPr>
              <w:t xml:space="preserve">Presenting an advisory framework as a compliance mandate, or a national agency that publishes no control set as a mapping target.</w:t>
            </w:r>
          </w:p>
          <w:p>
            <w:pPr>
              <w:spacing w:after="20" w:before="20" w:line="252"/>
            </w:pPr>
            <w:r>
              <w:rPr>
                <w:rFonts w:ascii="Arial" w:cs="Arial" w:eastAsia="Arial" w:hAnsi="Arial"/>
                <w:color w:val="000000"/>
                <w:sz w:val="19"/>
                <w:szCs w:val="19"/>
              </w:rPr>
              <w:t xml:space="preserve">Evidence that cannot be exported or independently verified.</w:t>
            </w:r>
          </w:p>
        </w:tc>
      </w:tr>
    </w:tbl>
    <w:p>
      <w:r>
        <w:br w:type="page"/>
      </w:r>
    </w:p>
    <w:p>
      <w:pPr>
        <w:pStyle w:val="Heading1"/>
        <w:pBdr>
          <w:bottom w:val="single" w:color="4035A8" w:sz="8" w:space="6"/>
        </w:pBdr>
        <w:spacing w:after="160" w:before="360"/>
      </w:pPr>
      <w:r>
        <w:rPr>
          <w:rFonts w:ascii="Arial" w:cs="Arial" w:eastAsia="Arial" w:hAnsi="Arial"/>
          <w:b/>
          <w:bCs/>
          <w:color w:val="4035A8"/>
          <w:sz w:val="30"/>
          <w:szCs w:val="30"/>
        </w:rPr>
        <w:t xml:space="preserve">Section 11  |  Counterparty risk (D1, D2, D3)</w:t>
      </w:r>
    </w:p>
    <w:p>
      <w:pPr>
        <w:spacing w:after="120" w:before="60" w:line="264"/>
      </w:pPr>
      <w:r>
        <w:rPr>
          <w:rFonts w:ascii="Arial" w:cs="Arial" w:eastAsia="Arial" w:hAnsi="Arial"/>
          <w:color w:val="000000"/>
          <w:sz w:val="20"/>
          <w:szCs w:val="20"/>
        </w:rPr>
        <w:t xml:space="preserve">Whether the vendor will still be able to support this product across a migration measured in years and an asset lifecycle measured in decades, and how they behave when something goes wrong.</w:t>
      </w:r>
    </w:p>
    <w:p>
      <w:pPr>
        <w:spacing w:after="60" w:before="100"/>
      </w:pPr>
    </w:p>
    <w:tbl>
      <w:tblPr>
        <w:tblW w:type="dxa" w:w="9360"/>
        <w:tblBorders>
          <w:top w:val="single" w:color="BFBFBF" w:sz="2"/>
          <w:left w:val="single" w:color="BFBFBF" w:sz="2"/>
          <w:bottom w:val="single" w:color="BFBFBF" w:sz="2"/>
          <w:right w:val="single" w:color="BFBFBF" w:sz="2"/>
          <w:insideH w:val="single" w:color="BFBFBF" w:sz="2"/>
          <w:insideV w:val="single" w:color="BFBFBF" w:sz="2"/>
        </w:tblBorders>
      </w:tblPr>
      <w:tblGrid>
        <w:gridCol w:w="700"/>
        <w:gridCol w:w="5460"/>
        <w:gridCol w:w="3200"/>
      </w:tblGrid>
      <w:tr>
        <w:trPr>
          <w:tblHeader/>
        </w:trPr>
        <w:tc>
          <w:tcPr>
            <w:tcW w:type="dxa" w:w="700"/>
            <w:shd w:fill="4035A8" w:color="auto" w:val="clear"/>
            <w:tcMar>
              <w:top w:type="dxa" w:w="90"/>
              <w:left w:type="dxa" w:w="120"/>
              <w:bottom w:type="dxa" w:w="90"/>
              <w:right w:type="dxa" w:w="120"/>
            </w:tcMar>
            <w:vAlign w:val="top"/>
          </w:tcPr>
          <w:p>
            <w:pPr>
              <w:spacing w:after="20" w:before="20" w:line="252"/>
            </w:pPr>
            <w:r>
              <w:rPr>
                <w:rFonts w:ascii="Arial" w:cs="Arial" w:eastAsia="Arial" w:hAnsi="Arial"/>
                <w:b/>
                <w:bCs/>
                <w:color w:val="FFFFFF"/>
                <w:sz w:val="19"/>
                <w:szCs w:val="19"/>
              </w:rPr>
              <w:t xml:space="preserve">#</w:t>
            </w:r>
          </w:p>
        </w:tc>
        <w:tc>
          <w:tcPr>
            <w:tcW w:type="dxa" w:w="5460"/>
            <w:shd w:fill="4035A8" w:color="auto" w:val="clear"/>
            <w:tcMar>
              <w:top w:type="dxa" w:w="90"/>
              <w:left w:type="dxa" w:w="120"/>
              <w:bottom w:type="dxa" w:w="90"/>
              <w:right w:type="dxa" w:w="120"/>
            </w:tcMar>
            <w:vAlign w:val="top"/>
          </w:tcPr>
          <w:p>
            <w:pPr>
              <w:spacing w:after="20" w:before="20" w:line="252"/>
            </w:pPr>
            <w:r>
              <w:rPr>
                <w:rFonts w:ascii="Arial" w:cs="Arial" w:eastAsia="Arial" w:hAnsi="Arial"/>
                <w:b/>
                <w:bCs/>
                <w:color w:val="FFFFFF"/>
                <w:sz w:val="19"/>
                <w:szCs w:val="19"/>
              </w:rPr>
              <w:t xml:space="preserve">Question</w:t>
            </w:r>
          </w:p>
        </w:tc>
        <w:tc>
          <w:tcPr>
            <w:tcW w:type="dxa" w:w="3200"/>
            <w:shd w:fill="4035A8" w:color="auto" w:val="clear"/>
            <w:tcMar>
              <w:top w:type="dxa" w:w="90"/>
              <w:left w:type="dxa" w:w="120"/>
              <w:bottom w:type="dxa" w:w="90"/>
              <w:right w:type="dxa" w:w="120"/>
            </w:tcMar>
            <w:vAlign w:val="top"/>
          </w:tcPr>
          <w:p>
            <w:pPr>
              <w:spacing w:after="20" w:before="20" w:line="252"/>
            </w:pPr>
            <w:r>
              <w:rPr>
                <w:rFonts w:ascii="Arial" w:cs="Arial" w:eastAsia="Arial" w:hAnsi="Arial"/>
                <w:b/>
                <w:bCs/>
                <w:color w:val="FFFFFF"/>
                <w:sz w:val="19"/>
                <w:szCs w:val="19"/>
              </w:rPr>
              <w:t xml:space="preserve">Response format required</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11.1</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Describe your funding position and runway.</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Statement</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11.2</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How many engineers work on this product, and how many hold cryptographic engineering expertise as distinct from general software engineering?</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Numbers</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11.3</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Name the cryptographers associated with the product, and describe their published work or standards participation.</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Names and references</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11.4</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Describe your participation in standards bodies and open source projects, with specific contributions.</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Named contributions</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11.5</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Provide your published roadmap from twelve and twenty-four months ago, and state what was delivered on time.</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Roadmaps, plus delivery record</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11.6</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Provide three customer references at our scale and in our sector, whom we may contact directly.</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Contacts</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11.7</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What happens to our deployment if you are acquired, cease trading or discontinue the product? Address source code escrow, data portability and exit procedures.</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Documented position</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11.8</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Provide your own security certifications, including the full scope statement.</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Certificates and scope</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11.9</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Provide an SBOM for your own product, and describe your software supply chain controls and build reproducibility.</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SBOM and process</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11.10</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How long did you take to ship the KyberSlash fixes and the CVE-2024-37880 mitigation, and how did you notify customers?</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Dates and notification method</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11.11</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State your licensing basis, and model the cost over five years against our stated growth assumptions.</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Model with assumptions</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11.12</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What is included and what is chargeable: additional algorithms, environments, integrations, professional services?</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Split list</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11.13</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What is the cost of exit: data export, transition assistance, and what happens to our inventory history?</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Costs and terms</w:t>
            </w:r>
          </w:p>
        </w:tc>
      </w:tr>
    </w:tbl>
    <w:p>
      <w:pPr>
        <w:spacing w:before="200"/>
      </w:pPr>
    </w:p>
    <w:tbl>
      <w:tblPr>
        <w:tblW w:type="dxa" w:w="9360"/>
        <w:tblBorders>
          <w:top w:val="none" w:color="FFFFFF" w:sz="0"/>
          <w:left w:val="single" w:color="4035A8" w:sz="18"/>
          <w:bottom w:val="none" w:color="FFFFFF" w:sz="0"/>
          <w:right w:val="none" w:color="FFFFFF" w:sz="0"/>
          <w:insideH w:val="none" w:color="FFFFFF" w:sz="0"/>
          <w:insideV w:val="none" w:color="FFFFFF" w:sz="0"/>
        </w:tblBorders>
      </w:tblPr>
      <w:tblGrid>
        <w:gridCol w:w="9360"/>
      </w:tblGrid>
      <w:tr>
        <w:tc>
          <w:tcPr>
            <w:tcW w:type="dxa" w:w="9360"/>
            <w:shd w:fill="DCD1FB" w:color="auto" w:val="clear"/>
            <w:tcMar>
              <w:top w:type="dxa" w:w="90"/>
              <w:left w:type="dxa" w:w="120"/>
              <w:bottom w:type="dxa" w:w="90"/>
              <w:right w:type="dxa" w:w="120"/>
            </w:tcMar>
            <w:vAlign w:val="top"/>
          </w:tcPr>
          <w:p>
            <w:pPr>
              <w:spacing w:after="20" w:before="20" w:line="252"/>
            </w:pPr>
            <w:r>
              <w:rPr>
                <w:rFonts w:ascii="Arial" w:cs="Arial" w:eastAsia="Arial" w:hAnsi="Arial"/>
                <w:b/>
                <w:bCs/>
                <w:color w:val="1A1440"/>
                <w:sz w:val="19"/>
                <w:szCs w:val="19"/>
              </w:rPr>
              <w:t xml:space="preserve">A strong answer</w:t>
            </w:r>
          </w:p>
          <w:p>
            <w:pPr>
              <w:spacing w:after="20" w:before="20" w:line="252"/>
            </w:pPr>
            <w:r>
              <w:rPr>
                <w:rFonts w:ascii="Arial" w:cs="Arial" w:eastAsia="Arial" w:hAnsi="Arial"/>
                <w:color w:val="000000"/>
                <w:sz w:val="19"/>
                <w:szCs w:val="19"/>
              </w:rPr>
              <w:t xml:space="preserve">Answers 11.10 with specific dates, which is a measured data point about future behaviour available to you at no cost. Supplies old roadmaps without editing them. Agrees to escrow where the deployment is critical.</w:t>
            </w:r>
          </w:p>
        </w:tc>
      </w:tr>
    </w:tbl>
    <w:p>
      <w:pPr>
        <w:spacing w:before="140"/>
      </w:pPr>
    </w:p>
    <w:tbl>
      <w:tblPr>
        <w:tblW w:type="dxa" w:w="9360"/>
        <w:tblBorders>
          <w:top w:val="none" w:color="FFFFFF" w:sz="0"/>
          <w:left w:val="single" w:color="CC2B1F" w:sz="18"/>
          <w:bottom w:val="none" w:color="FFFFFF" w:sz="0"/>
          <w:right w:val="none" w:color="FFFFFF" w:sz="0"/>
          <w:insideH w:val="none" w:color="FFFFFF" w:sz="0"/>
          <w:insideV w:val="none" w:color="FFFFFF" w:sz="0"/>
        </w:tblBorders>
      </w:tblPr>
      <w:tblGrid>
        <w:gridCol w:w="9360"/>
      </w:tblGrid>
      <w:tr>
        <w:tc>
          <w:tcPr>
            <w:tcW w:type="dxa" w:w="9360"/>
            <w:shd w:fill="FBE9E7" w:color="auto" w:val="clear"/>
            <w:tcMar>
              <w:top w:type="dxa" w:w="90"/>
              <w:left w:type="dxa" w:w="120"/>
              <w:bottom w:type="dxa" w:w="90"/>
              <w:right w:type="dxa" w:w="120"/>
            </w:tcMar>
            <w:vAlign w:val="top"/>
          </w:tcPr>
          <w:p>
            <w:pPr>
              <w:spacing w:after="20" w:before="20" w:line="252"/>
            </w:pPr>
            <w:r>
              <w:rPr>
                <w:rFonts w:ascii="Arial" w:cs="Arial" w:eastAsia="Arial" w:hAnsi="Arial"/>
                <w:b/>
                <w:bCs/>
                <w:color w:val="1A1440"/>
                <w:sz w:val="19"/>
                <w:szCs w:val="19"/>
              </w:rPr>
              <w:t xml:space="preserve">Disqualifying answers</w:t>
            </w:r>
          </w:p>
          <w:p>
            <w:pPr>
              <w:spacing w:after="20" w:before="20" w:line="252"/>
            </w:pPr>
            <w:r>
              <w:rPr>
                <w:rFonts w:ascii="Arial" w:cs="Arial" w:eastAsia="Arial" w:hAnsi="Arial"/>
                <w:color w:val="000000"/>
                <w:sz w:val="19"/>
                <w:szCs w:val="19"/>
              </w:rPr>
              <w:t xml:space="preserve">Cannot answer 11.10.</w:t>
            </w:r>
          </w:p>
          <w:p>
            <w:pPr>
              <w:spacing w:after="20" w:before="20" w:line="252"/>
            </w:pPr>
            <w:r>
              <w:rPr>
                <w:rFonts w:ascii="Arial" w:cs="Arial" w:eastAsia="Arial" w:hAnsi="Arial"/>
                <w:color w:val="000000"/>
                <w:sz w:val="19"/>
                <w:szCs w:val="19"/>
              </w:rPr>
              <w:t xml:space="preserve">No identifiable cryptographic expertise on the engineering team.</w:t>
            </w:r>
          </w:p>
          <w:p>
            <w:pPr>
              <w:spacing w:after="20" w:before="20" w:line="252"/>
            </w:pPr>
            <w:r>
              <w:rPr>
                <w:rFonts w:ascii="Arial" w:cs="Arial" w:eastAsia="Arial" w:hAnsi="Arial"/>
                <w:color w:val="000000"/>
                <w:sz w:val="19"/>
                <w:szCs w:val="19"/>
              </w:rPr>
              <w:t xml:space="preserve">Awards from pay-to-enter schemes, papers in predatory venues, or standards body logos where the involvement is membership rather than contribution.</w:t>
            </w:r>
          </w:p>
          <w:p>
            <w:pPr>
              <w:spacing w:after="20" w:before="20" w:line="252"/>
            </w:pPr>
            <w:r>
              <w:rPr>
                <w:rFonts w:ascii="Arial" w:cs="Arial" w:eastAsia="Arial" w:hAnsi="Arial"/>
                <w:color w:val="000000"/>
                <w:sz w:val="19"/>
                <w:szCs w:val="19"/>
              </w:rPr>
              <w:t xml:space="preserve">Refusing independent technical review.</w:t>
            </w:r>
          </w:p>
          <w:p>
            <w:pPr>
              <w:spacing w:after="20" w:before="20" w:line="252"/>
            </w:pPr>
            <w:r>
              <w:rPr>
                <w:rFonts w:ascii="Arial" w:cs="Arial" w:eastAsia="Arial" w:hAnsi="Arial"/>
                <w:color w:val="000000"/>
                <w:sz w:val="19"/>
                <w:szCs w:val="19"/>
              </w:rPr>
              <w:t xml:space="preserve">Pricing that penalises adding newly standardised algorithms, which converts crypto-agility into a recurring charge.</w:t>
            </w:r>
          </w:p>
        </w:tc>
      </w:tr>
    </w:tbl>
    <w:p>
      <w:r>
        <w:br w:type="page"/>
      </w:r>
    </w:p>
    <w:p>
      <w:pPr>
        <w:pStyle w:val="Heading1"/>
        <w:pBdr>
          <w:bottom w:val="single" w:color="4035A8" w:sz="8" w:space="6"/>
        </w:pBdr>
        <w:spacing w:after="160" w:before="360"/>
      </w:pPr>
      <w:r>
        <w:rPr>
          <w:rFonts w:ascii="Arial" w:cs="Arial" w:eastAsia="Arial" w:hAnsi="Arial"/>
          <w:b/>
          <w:bCs/>
          <w:color w:val="4035A8"/>
          <w:sz w:val="30"/>
          <w:szCs w:val="30"/>
        </w:rPr>
        <w:t xml:space="preserve">Contract clauses to carry forward</w:t>
      </w:r>
    </w:p>
    <w:p>
      <w:pPr>
        <w:spacing w:after="120" w:before="60" w:line="264"/>
      </w:pPr>
      <w:r>
        <w:rPr>
          <w:rFonts w:ascii="Arial" w:cs="Arial" w:eastAsia="Arial" w:hAnsi="Arial"/>
          <w:color w:val="000000"/>
          <w:sz w:val="20"/>
          <w:szCs w:val="20"/>
        </w:rPr>
        <w:t xml:space="preserve">The contract is where a good evaluation is either preserved or given away. Ten clauses, none of them exotic, all of them frequently absent.</w:t>
      </w:r>
    </w:p>
    <w:tbl>
      <w:tblPr>
        <w:tblW w:type="dxa" w:w="9360"/>
        <w:tblBorders>
          <w:top w:val="single" w:color="BFBFBF" w:sz="2"/>
          <w:left w:val="single" w:color="BFBFBF" w:sz="2"/>
          <w:bottom w:val="single" w:color="BFBFBF" w:sz="2"/>
          <w:right w:val="single" w:color="BFBFBF" w:sz="2"/>
          <w:insideH w:val="single" w:color="BFBFBF" w:sz="2"/>
          <w:insideV w:val="single" w:color="BFBFBF" w:sz="2"/>
        </w:tblBorders>
      </w:tblPr>
      <w:tblGrid>
        <w:gridCol w:w="700"/>
        <w:gridCol w:w="5460"/>
        <w:gridCol w:w="3200"/>
      </w:tblGrid>
      <w:tr>
        <w:trPr>
          <w:tblHeader/>
        </w:trPr>
        <w:tc>
          <w:tcPr>
            <w:tcW w:type="dxa" w:w="700"/>
            <w:shd w:fill="4035A8" w:color="auto" w:val="clear"/>
            <w:tcMar>
              <w:top w:type="dxa" w:w="90"/>
              <w:left w:type="dxa" w:w="120"/>
              <w:bottom w:type="dxa" w:w="90"/>
              <w:right w:type="dxa" w:w="120"/>
            </w:tcMar>
            <w:vAlign w:val="top"/>
          </w:tcPr>
          <w:p>
            <w:pPr>
              <w:spacing w:after="20" w:before="20" w:line="252"/>
            </w:pPr>
            <w:r>
              <w:rPr>
                <w:rFonts w:ascii="Arial" w:cs="Arial" w:eastAsia="Arial" w:hAnsi="Arial"/>
                <w:b/>
                <w:bCs/>
                <w:color w:val="FFFFFF"/>
                <w:sz w:val="19"/>
                <w:szCs w:val="19"/>
              </w:rPr>
              <w:t xml:space="preserve">#</w:t>
            </w:r>
          </w:p>
        </w:tc>
        <w:tc>
          <w:tcPr>
            <w:tcW w:type="dxa" w:w="5460"/>
            <w:shd w:fill="4035A8" w:color="auto" w:val="clear"/>
            <w:tcMar>
              <w:top w:type="dxa" w:w="90"/>
              <w:left w:type="dxa" w:w="120"/>
              <w:bottom w:type="dxa" w:w="90"/>
              <w:right w:type="dxa" w:w="120"/>
            </w:tcMar>
            <w:vAlign w:val="top"/>
          </w:tcPr>
          <w:p>
            <w:pPr>
              <w:spacing w:after="20" w:before="20" w:line="252"/>
            </w:pPr>
            <w:r>
              <w:rPr>
                <w:rFonts w:ascii="Arial" w:cs="Arial" w:eastAsia="Arial" w:hAnsi="Arial"/>
                <w:b/>
                <w:bCs/>
                <w:color w:val="FFFFFF"/>
                <w:sz w:val="19"/>
                <w:szCs w:val="19"/>
              </w:rPr>
              <w:t xml:space="preserve">Question</w:t>
            </w:r>
          </w:p>
        </w:tc>
        <w:tc>
          <w:tcPr>
            <w:tcW w:type="dxa" w:w="3200"/>
            <w:shd w:fill="4035A8" w:color="auto" w:val="clear"/>
            <w:tcMar>
              <w:top w:type="dxa" w:w="90"/>
              <w:left w:type="dxa" w:w="120"/>
              <w:bottom w:type="dxa" w:w="90"/>
              <w:right w:type="dxa" w:w="120"/>
            </w:tcMar>
            <w:vAlign w:val="top"/>
          </w:tcPr>
          <w:p>
            <w:pPr>
              <w:spacing w:after="20" w:before="20" w:line="252"/>
            </w:pPr>
            <w:r>
              <w:rPr>
                <w:rFonts w:ascii="Arial" w:cs="Arial" w:eastAsia="Arial" w:hAnsi="Arial"/>
                <w:b/>
                <w:bCs/>
                <w:color w:val="FFFFFF"/>
                <w:sz w:val="19"/>
                <w:szCs w:val="19"/>
              </w:rPr>
              <w:t xml:space="preserve">Response format required</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1</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Algorithm substitution right. The customer may require support for any algorithm subsequently standardised by a named body, within a stated period, at no additional licence cost.</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Without this, crypto-agility is a feature you rent and re-purchase</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2</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Cryptographic vulnerability notification within a stated period, covering weaknesses in the product, use of non-approved algorithms, and published attacks against algorithms or implementations in use.</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Distinct from a general security notice clause</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3</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Patch commitment by severity, with remediation windows for cryptographic vulnerabilities specifically and a remedy if missed.</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Separate from general software defects</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4</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CBOM delivery on each release and on request.</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You cannot manage cryptographic risk in a product whose own cryptography is undisclosed</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5</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Certification maintenance across versions, with notification if the deployed version falls outside the certified boundary.</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Certification decays quietly otherwise</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6</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Data residency and access warranty, restating the architectural position, with notification of any change to the egress profile.</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Contractual mirror of the technical control</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7</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Interoperability warranty against independent implementations, with a remedy.</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Prevents lock-in by non-conformance</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8</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Performance warranty measured against the pilot baseline rather than a datasheet.</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The pilot is the benchmark</w:t>
            </w:r>
          </w:p>
        </w:tc>
      </w:tr>
      <w:tr>
        <w:tc>
          <w:tcPr>
            <w:tcW w:type="dxa" w:w="70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9</w:t>
            </w:r>
          </w:p>
        </w:tc>
        <w:tc>
          <w:tcPr>
            <w:tcW w:type="dxa" w:w="5460"/>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Exit and portability: open-format export including full inventory history, transition assistance at a pre-agreed rate, escrow where viability justified concern.</w:t>
            </w:r>
          </w:p>
        </w:tc>
        <w:tc>
          <w:tcPr>
            <w:tcW w:type="dxa" w:w="3200"/>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Test the export annually</w:t>
            </w:r>
          </w:p>
        </w:tc>
      </w:tr>
      <w:tr>
        <w:tc>
          <w:tcPr>
            <w:tcW w:type="dxa" w:w="70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10</w:t>
            </w:r>
          </w:p>
        </w:tc>
        <w:tc>
          <w:tcPr>
            <w:tcW w:type="dxa" w:w="5460"/>
            <w:shd w:fill="F7F5FE" w:color="auto" w:val="clear"/>
            <w:tcMar>
              <w:top w:type="dxa" w:w="90"/>
              <w:left w:type="dxa" w:w="120"/>
              <w:bottom w:type="dxa" w:w="90"/>
              <w:right w:type="dxa" w:w="120"/>
            </w:tcMar>
            <w:vAlign w:val="top"/>
          </w:tcPr>
          <w:p>
            <w:pPr>
              <w:spacing w:after="20" w:before="20" w:line="252"/>
            </w:pPr>
            <w:r>
              <w:rPr>
                <w:rFonts w:ascii="Arial" w:cs="Arial" w:eastAsia="Arial" w:hAnsi="Arial"/>
                <w:color w:val="000000"/>
                <w:sz w:val="19"/>
                <w:szCs w:val="19"/>
              </w:rPr>
              <w:t xml:space="preserve">Roadmap commitment with consequence: dated commitments for capability material to the selection but not yet shipped, with a service credit or termination right.</w:t>
            </w:r>
          </w:p>
        </w:tc>
        <w:tc>
          <w:tcPr>
            <w:tcW w:type="dxa" w:w="3200"/>
            <w:shd w:fill="F7F5FE" w:color="auto" w:val="clear"/>
            <w:tcMar>
              <w:top w:type="dxa" w:w="90"/>
              <w:left w:type="dxa" w:w="120"/>
              <w:bottom w:type="dxa" w:w="90"/>
              <w:right w:type="dxa" w:w="120"/>
            </w:tcMar>
            <w:vAlign w:val="top"/>
          </w:tcPr>
          <w:p>
            <w:pPr>
              <w:spacing w:after="20" w:before="20" w:line="252"/>
            </w:pPr>
            <w:r>
              <w:rPr>
                <w:rFonts w:ascii="Arial" w:cs="Arial" w:eastAsia="Arial" w:hAnsi="Arial"/>
                <w:i/>
                <w:iCs/>
                <w:color w:val="000000"/>
                <w:sz w:val="19"/>
                <w:szCs w:val="19"/>
              </w:rPr>
              <w:t xml:space="preserve">A roadmap without a consequence is a statement of intent</w:t>
            </w:r>
          </w:p>
        </w:tc>
      </w:tr>
    </w:tbl>
    <w:p>
      <w:pPr>
        <w:pStyle w:val="Heading1"/>
        <w:pBdr>
          <w:bottom w:val="single" w:color="4035A8" w:sz="8" w:space="6"/>
        </w:pBdr>
        <w:spacing w:after="160" w:before="360"/>
      </w:pPr>
      <w:r>
        <w:rPr>
          <w:rFonts w:ascii="Arial" w:cs="Arial" w:eastAsia="Arial" w:hAnsi="Arial"/>
          <w:b/>
          <w:bCs/>
          <w:color w:val="4035A8"/>
          <w:sz w:val="30"/>
          <w:szCs w:val="30"/>
        </w:rPr>
        <w:t xml:space="preserve">Notes on use</w:t>
      </w:r>
    </w:p>
    <w:p>
      <w:pPr>
        <w:spacing w:after="120" w:before="60" w:line="264"/>
      </w:pPr>
      <w:r>
        <w:rPr>
          <w:rFonts w:ascii="Arial" w:cs="Arial" w:eastAsia="Arial" w:hAnsi="Arial"/>
          <w:color w:val="000000"/>
          <w:sz w:val="20"/>
          <w:szCs w:val="20"/>
        </w:rPr>
        <w:t xml:space="preserve">Delete what does not apply. A question bank issued in full to every supplier, regardless of product category, signals that the answers will not be read carefully. Use the category overlays in Section 8 of the standard to select.</w:t>
      </w:r>
    </w:p>
    <w:p>
      <w:pPr>
        <w:spacing w:after="120" w:before="60" w:line="264"/>
      </w:pPr>
      <w:r>
        <w:rPr>
          <w:rFonts w:ascii="Arial" w:cs="Arial" w:eastAsia="Arial" w:hAnsi="Arial"/>
          <w:color w:val="000000"/>
          <w:sz w:val="20"/>
          <w:szCs w:val="20"/>
        </w:rPr>
        <w:t xml:space="preserve">Ask for the response format you specified. Where a vendor substitutes narrative for a certificate number, a version string or a commit hash, treat the substitution as the answer and score the evidence tier accordingly.</w:t>
      </w:r>
    </w:p>
    <w:p>
      <w:pPr>
        <w:spacing w:after="120" w:before="60" w:line="264"/>
      </w:pPr>
      <w:r>
        <w:rPr>
          <w:rFonts w:ascii="Arial" w:cs="Arial" w:eastAsia="Arial" w:hAnsi="Arial"/>
          <w:color w:val="000000"/>
          <w:sz w:val="20"/>
          <w:szCs w:val="20"/>
        </w:rPr>
        <w:t xml:space="preserve">Record every response against an evidence tier before scoring. The companion scorecard applies the caps automatically.</w:t>
      </w:r>
    </w:p>
    <w:p>
      <w:pPr>
        <w:spacing w:after="120" w:before="60" w:line="264"/>
      </w:pPr>
      <w:r>
        <w:rPr>
          <w:rFonts w:ascii="Arial" w:cs="Arial" w:eastAsia="Arial" w:hAnsi="Arial"/>
          <w:color w:val="000000"/>
          <w:sz w:val="20"/>
          <w:szCs w:val="20"/>
        </w:rPr>
        <w:t xml:space="preserve">Verify what would change the outcome. You do not need to verify every answer. You need to verify every claim that, if false, would change the ranking. Identify those before you start.</w:t>
      </w:r>
    </w:p>
    <w:p>
      <w:pPr>
        <w:pBdr>
          <w:top w:val="single" w:color="4035A8" w:sz="8" w:space="8"/>
        </w:pBdr>
        <w:spacing w:after="60" w:before="400"/>
      </w:pPr>
    </w:p>
    <w:p>
      <w:pPr>
        <w:spacing w:after="120" w:before="60" w:line="264"/>
      </w:pPr>
      <w:r>
        <w:rPr>
          <w:rFonts w:ascii="Arial" w:cs="Arial" w:eastAsia="Arial" w:hAnsi="Arial"/>
          <w:color w:val="555555"/>
          <w:sz w:val="18"/>
          <w:szCs w:val="18"/>
        </w:rPr>
        <w:t xml:space="preserve">Published by ExeQuantum. ExeQuantum is a post-quantum cryptographic engineering company and a vendor in the market this document describes. These questions name no products, including ExeQuantum's, and are written so that they could be applied to ExeQuantum by a buyer, with the same disqualifiers.</w:t>
      </w:r>
    </w:p>
    <w:p>
      <w:pPr>
        <w:spacing w:after="120" w:before="60" w:line="264"/>
      </w:pPr>
      <w:r>
        <w:rPr>
          <w:rFonts w:ascii="Arial" w:cs="Arial" w:eastAsia="Arial" w:hAnsi="Arial"/>
          <w:color w:val="555555"/>
          <w:sz w:val="18"/>
          <w:szCs w:val="18"/>
        </w:rPr>
        <w:t xml:space="preserve">PQ-VES 1.0. Published 12 August 2026. Creative Commons Attribution 4.0. Corrections welcome and will be reflected in the next revision with acknowledgement.</w:t>
      </w:r>
    </w:p>
    <w:p>
      <w:pPr>
        <w:spacing w:after="120" w:before="200" w:line="264"/>
        <w:jc w:val="center"/>
      </w:pPr>
      <w:r>
        <w:rPr>
          <w:rFonts w:ascii="Arial" w:cs="Arial" w:eastAsia="Arial" w:hAnsi="Arial"/>
          <w:b/>
          <w:bCs/>
          <w:color w:val="4035A8"/>
          <w:sz w:val="18"/>
          <w:szCs w:val="18"/>
        </w:rPr>
        <w:t xml:space="preserve">Sovereign · Transparent · Agile · Compliant</w:t>
      </w:r>
    </w:p>
    <w:sectPr>
      <w:footerReference w:type="default" r:id="rId7"/>
      <w:pgSz w:w="11906" w:h="16838" w:orient="portrait"/>
      <w:pgMar w:top="1080" w:right="1080" w:bottom="1080" w:left="10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spacing w:before="200"/>
      <w:jc w:val="center"/>
    </w:pPr>
    <w:r>
      <w:rPr>
        <w:rFonts w:ascii="Arial" w:cs="Arial" w:eastAsia="Arial" w:hAnsi="Arial"/>
        <w:color w:val="888888"/>
        <w:sz w:val="16"/>
        <w:szCs w:val="16"/>
      </w:rPr>
      <w:t xml:space="preserve">PQ-VES 1.0  |  Post-Quantum Cryptography RFP Question Bank  |  Page </w:t>
    </w:r>
    <w:r>
      <w:rPr>
        <w:rFonts w:ascii="Arial" w:cs="Arial" w:eastAsia="Arial" w:hAnsi="Arial"/>
        <w:color w:val="888888"/>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0"/>
        <w:szCs w:val="20"/>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oter" Target="footer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PQ-VES 1.0 Post-Quantum Cryptography RFP Question Bank</dc:title>
  <dc:creator>ExeQuantum</dc:creator>
  <dc:description>Vendor-neutral tender question bank for post-quantum cryptography procurement</dc:description>
  <cp:lastModifiedBy>Un-named</cp:lastModifiedBy>
  <cp:revision>1</cp:revision>
  <dcterms:created xsi:type="dcterms:W3CDTF">2026-08-12T03:37:59.451Z</dcterms:created>
  <dcterms:modified xsi:type="dcterms:W3CDTF">2026-08-12T03:37:59.453Z</dcterms:modified>
</cp:coreProperties>
</file>

<file path=docProps/custom.xml><?xml version="1.0" encoding="utf-8"?>
<Properties xmlns="http://schemas.openxmlformats.org/officeDocument/2006/custom-properties" xmlns:vt="http://schemas.openxmlformats.org/officeDocument/2006/docPropsVTypes"/>
</file>